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Vitamin B Cream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SDS-NIA-001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Vitamin B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 xml:space="preserve">Aqua (Water), Niacinamide (Vitamin B3), Glycerin, Helianthus Annuus Seed Oil (Sunflower Oil), Cetearyl Alcohol, Caprylic/Capric Triglyceride, Butyrospermum Parkii Butter (Shea Butter), Tocopherol (Natural Vitamin E), </w:t>
              <w:br/>
              <w:t>Arctostayphlos Uva Ursi Leaf Extract, Glycolic Acid, Phenoxyethanol, Ceteareth-20, Stearic Acid, Caprylyl Glycol, Carbomer, Dimethicone, Sodium Hydroxide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Niacinamide (Vitamin B3)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Active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98-92-0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Seed Oil (Sunflower Oil)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Cetearyl Alcohol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67762-27-0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Butyrospermum Parkii Butter (Shea Butter)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194043-92-0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 (Natural Vitamin E)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Arctostayphlos Uva Ursi Leaf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Glycolic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79-14-1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Ceteareth-20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68439-49-6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Stearic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57-11-4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Caprylyl Glycol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1117-86-8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Dimethicone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9006-65-9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Hydroxide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1310-73-2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White to off-white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