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5F"/>
          <w:sz w:val="48"/>
        </w:rPr>
        <w:t>CERTIFICATE OF CONFORMITY</w:t>
      </w:r>
    </w:p>
    <w:p>
      <w:pPr>
        <w:jc w:val="center"/>
      </w:pPr>
      <w:r>
        <w:rPr>
          <w:i/>
          <w:sz w:val="20"/>
        </w:rPr>
        <w:t>Issued by Cellular Cosmetics Pty Ltd — ABN 73 668 909 984</w:t>
      </w:r>
    </w:p>
    <w:p/>
    <w:p>
      <w:pPr>
        <w:jc w:val="center"/>
      </w:pPr>
      <w:r>
        <w:rPr>
          <w:b/>
          <w:sz w:val="36"/>
        </w:rPr>
        <w:t>Unscented Moisturiser</w:t>
      </w:r>
    </w:p>
    <w:p/>
    <w:tbl>
      <w:tblPr>
        <w:tblStyle w:val="LightGrid-Accent1"/>
        <w:tblW w:type="auto" w:w="0"/>
        <w:tblLook w:firstColumn="1" w:firstRow="1" w:lastColumn="0" w:lastRow="0" w:noHBand="0" w:noVBand="1" w:val="04A0"/>
      </w:tblPr>
      <w:tblGrid>
        <w:gridCol w:w="4986"/>
        <w:gridCol w:w="4986"/>
      </w:tblGrid>
      <w:tr>
        <w:tc>
          <w:tcPr>
            <w:tcW w:type="dxa" w:w="2835"/>
            <w:shd w:val="clear" w:color="auto" w:fill="1F3A5F"/>
          </w:tcPr>
          <w:p>
            <w:r/>
            <w:r>
              <w:rPr>
                <w:b/>
                <w:color w:val="FFFFFF"/>
                <w:sz w:val="20"/>
              </w:rPr>
              <w:t>Field</w:t>
            </w:r>
          </w:p>
        </w:tc>
        <w:tc>
          <w:tcPr>
            <w:tcW w:type="dxa" w:w="6803"/>
            <w:shd w:val="clear" w:color="auto" w:fill="1F3A5F"/>
          </w:tcPr>
          <w:p>
            <w:r/>
            <w:r>
              <w:rPr>
                <w:b/>
                <w:color w:val="FFFFFF"/>
                <w:sz w:val="20"/>
              </w:rPr>
              <w:t>Detail</w:t>
            </w:r>
          </w:p>
        </w:tc>
      </w:tr>
      <w:tr>
        <w:tc>
          <w:tcPr>
            <w:tcW w:type="dxa" w:w="2835"/>
          </w:tcPr>
          <w:p>
            <w:r>
              <w:rPr>
                <w:sz w:val="18"/>
              </w:rPr>
              <w:t>Product Name</w:t>
            </w:r>
          </w:p>
        </w:tc>
        <w:tc>
          <w:tcPr>
            <w:tcW w:type="dxa" w:w="6803"/>
          </w:tcPr>
          <w:p>
            <w:r>
              <w:rPr>
                <w:sz w:val="18"/>
              </w:rPr>
              <w:t>Unscented Moisturiser</w:t>
            </w:r>
          </w:p>
        </w:tc>
      </w:tr>
      <w:tr>
        <w:tc>
          <w:tcPr>
            <w:tcW w:type="dxa" w:w="2835"/>
          </w:tcPr>
          <w:p>
            <w:r>
              <w:rPr>
                <w:sz w:val="18"/>
              </w:rPr>
              <w:t>Product Code</w:t>
            </w:r>
          </w:p>
        </w:tc>
        <w:tc>
          <w:tcPr>
            <w:tcW w:type="dxa" w:w="6803"/>
          </w:tcPr>
          <w:p>
            <w:r>
              <w:rPr>
                <w:sz w:val="18"/>
              </w:rPr>
              <w:t>UNSCM</w:t>
            </w:r>
          </w:p>
        </w:tc>
      </w:tr>
      <w:tr>
        <w:tc>
          <w:tcPr>
            <w:tcW w:type="dxa" w:w="2835"/>
          </w:tcPr>
          <w:p>
            <w:r>
              <w:rPr>
                <w:sz w:val="18"/>
              </w:rPr>
              <w:t>Manufacturer</w:t>
            </w:r>
          </w:p>
        </w:tc>
        <w:tc>
          <w:tcPr>
            <w:tcW w:type="dxa" w:w="6803"/>
          </w:tcPr>
          <w:p>
            <w:r>
              <w:rPr>
                <w:sz w:val="18"/>
              </w:rPr>
              <w:t>Cellular Cosmetics Pty Ltd</w:t>
            </w:r>
          </w:p>
        </w:tc>
      </w:tr>
      <w:tr>
        <w:tc>
          <w:tcPr>
            <w:tcW w:type="dxa" w:w="2835"/>
          </w:tcPr>
          <w:p>
            <w:r>
              <w:rPr>
                <w:sz w:val="18"/>
              </w:rPr>
              <w:t>Address</w:t>
            </w:r>
          </w:p>
        </w:tc>
        <w:tc>
          <w:tcPr>
            <w:tcW w:type="dxa" w:w="6803"/>
          </w:tcPr>
          <w:p>
            <w:r>
              <w:rPr>
                <w:sz w:val="18"/>
              </w:rPr>
              <w:t>1/7 Activity Crescent, Molendinar, QLD, Australia</w:t>
            </w:r>
          </w:p>
        </w:tc>
      </w:tr>
      <w:tr>
        <w:tc>
          <w:tcPr>
            <w:tcW w:type="dxa" w:w="2835"/>
          </w:tcPr>
          <w:p>
            <w:r>
              <w:rPr>
                <w:sz w:val="18"/>
              </w:rPr>
              <w:t>Date of Issue</w:t>
            </w:r>
          </w:p>
        </w:tc>
        <w:tc>
          <w:tcPr>
            <w:tcW w:type="dxa" w:w="6803"/>
          </w:tcPr>
          <w:p>
            <w:r>
              <w:rPr>
                <w:sz w:val="18"/>
              </w:rPr>
              <w:t>21 October 2026</w:t>
            </w:r>
          </w:p>
        </w:tc>
      </w:tr>
      <w:tr>
        <w:tc>
          <w:tcPr>
            <w:tcW w:type="dxa" w:w="2835"/>
          </w:tcPr>
          <w:p>
            <w:r>
              <w:rPr>
                <w:sz w:val="18"/>
              </w:rPr>
              <w:t>Document Reference</w:t>
            </w:r>
          </w:p>
        </w:tc>
        <w:tc>
          <w:tcPr>
            <w:tcW w:type="dxa" w:w="6803"/>
          </w:tcPr>
          <w:p>
            <w:r>
              <w:rPr>
                <w:sz w:val="18"/>
              </w:rPr>
              <w:t>COC-UNSCM-001</w:t>
            </w:r>
          </w:p>
        </w:tc>
      </w:tr>
    </w:tbl>
    <w:p>
      <w:pPr>
        <w:spacing w:before="360" w:after="120"/>
      </w:pPr>
      <w:r>
        <w:rPr>
          <w:b/>
          <w:color w:val="1F3A5F"/>
          <w:sz w:val="32"/>
        </w:rPr>
        <w:t>Declaration of Conformity</w:t>
      </w:r>
    </w:p>
    <w:p>
      <w:r>
        <w:rPr>
          <w:b w:val="0"/>
          <w:i w:val="0"/>
          <w:sz w:val="20"/>
        </w:rPr>
        <w:t>Cellular Cosmetics Pty Ltd hereby certifies that the cosmetic product identified above has been manufactured, tested and assessed in accordance with the following regulations and standards, and is fit for purpose as a cosmetic product when used as directed:</w:t>
      </w:r>
    </w:p>
    <w:p>
      <w:pPr>
        <w:pStyle w:val="ListBullet"/>
      </w:pPr>
      <w:r>
        <w:t>Regulation (EC) No 1223/2009 of the European Parliament and of the Council on cosmetic products</w:t>
      </w:r>
    </w:p>
    <w:p>
      <w:pPr>
        <w:pStyle w:val="ListBullet"/>
      </w:pPr>
      <w:r>
        <w:t>ISO 22716:2007 — Cosmetics — Good Manufacturing Practices (GMP)</w:t>
      </w:r>
    </w:p>
    <w:p>
      <w:pPr>
        <w:pStyle w:val="ListBullet"/>
      </w:pPr>
      <w:r>
        <w:t>ISO 17516:2014 — Cosmetics — Microbiological limits</w:t>
      </w:r>
    </w:p>
    <w:p>
      <w:pPr>
        <w:pStyle w:val="ListBullet"/>
      </w:pPr>
      <w:r>
        <w:t>Australian Industrial Chemicals Introduction Scheme (AICIS) requirements</w:t>
      </w:r>
    </w:p>
    <w:p>
      <w:pPr>
        <w:pStyle w:val="ListBullet"/>
      </w:pPr>
      <w:r>
        <w:t>United States FDA Cosmetic Regulations 21 CFR Parts 700–740</w:t>
      </w:r>
    </w:p>
    <w:p>
      <w:pPr>
        <w:spacing w:before="360" w:after="120"/>
      </w:pPr>
      <w:r>
        <w:rPr>
          <w:b/>
          <w:color w:val="1F3A5F"/>
          <w:sz w:val="32"/>
        </w:rPr>
        <w:t>Confirmed Compliance</w:t>
      </w:r>
    </w:p>
    <w:tbl>
      <w:tblPr>
        <w:tblStyle w:val="LightGrid-Accent1"/>
        <w:tblW w:type="auto" w:w="0"/>
        <w:tblLook w:firstColumn="1" w:firstRow="1" w:lastColumn="0" w:lastRow="0" w:noHBand="0" w:noVBand="1" w:val="04A0"/>
      </w:tblPr>
      <w:tblGrid>
        <w:gridCol w:w="4986"/>
        <w:gridCol w:w="4986"/>
      </w:tblGrid>
      <w:tr>
        <w:tc>
          <w:tcPr>
            <w:tcW w:type="dxa" w:w="4535"/>
            <w:shd w:val="clear" w:color="auto" w:fill="1F3A5F"/>
          </w:tcPr>
          <w:p>
            <w:r/>
            <w:r>
              <w:rPr>
                <w:b/>
                <w:color w:val="FFFFFF"/>
                <w:sz w:val="20"/>
              </w:rPr>
              <w:t>Item</w:t>
            </w:r>
          </w:p>
        </w:tc>
        <w:tc>
          <w:tcPr>
            <w:tcW w:type="dxa" w:w="5102"/>
            <w:shd w:val="clear" w:color="auto" w:fill="1F3A5F"/>
          </w:tcPr>
          <w:p>
            <w:r/>
            <w:r>
              <w:rPr>
                <w:b/>
                <w:color w:val="FFFFFF"/>
                <w:sz w:val="20"/>
              </w:rPr>
              <w:t>Status</w:t>
            </w:r>
          </w:p>
        </w:tc>
      </w:tr>
      <w:tr>
        <w:tc>
          <w:tcPr>
            <w:tcW w:type="dxa" w:w="4535"/>
          </w:tcPr>
          <w:p>
            <w:r>
              <w:rPr>
                <w:sz w:val="18"/>
              </w:rPr>
              <w:t>Cosmetic Product Safety Report (CPSR)</w:t>
            </w:r>
          </w:p>
        </w:tc>
        <w:tc>
          <w:tcPr>
            <w:tcW w:type="dxa" w:w="5102"/>
          </w:tcPr>
          <w:p>
            <w:r>
              <w:rPr>
                <w:sz w:val="18"/>
              </w:rPr>
              <w:t>Completed and held on file</w:t>
            </w:r>
          </w:p>
        </w:tc>
      </w:tr>
      <w:tr>
        <w:tc>
          <w:tcPr>
            <w:tcW w:type="dxa" w:w="4535"/>
          </w:tcPr>
          <w:p>
            <w:r>
              <w:rPr>
                <w:sz w:val="18"/>
              </w:rPr>
              <w:t>Product Information File (PIF)</w:t>
            </w:r>
          </w:p>
        </w:tc>
        <w:tc>
          <w:tcPr>
            <w:tcW w:type="dxa" w:w="5102"/>
          </w:tcPr>
          <w:p>
            <w:r>
              <w:rPr>
                <w:sz w:val="18"/>
              </w:rPr>
              <w:t>Maintained per Article 11 of EC 1223/2009</w:t>
            </w:r>
          </w:p>
        </w:tc>
      </w:tr>
      <w:tr>
        <w:tc>
          <w:tcPr>
            <w:tcW w:type="dxa" w:w="4535"/>
          </w:tcPr>
          <w:p>
            <w:r>
              <w:rPr>
                <w:sz w:val="18"/>
              </w:rPr>
              <w:t>Microbiological release testing</w:t>
            </w:r>
          </w:p>
        </w:tc>
        <w:tc>
          <w:tcPr>
            <w:tcW w:type="dxa" w:w="5102"/>
          </w:tcPr>
          <w:p>
            <w:r>
              <w:rPr>
                <w:sz w:val="18"/>
              </w:rPr>
              <w:t>Pass — within ISO 17516 Category 1 limits</w:t>
            </w:r>
          </w:p>
        </w:tc>
      </w:tr>
      <w:tr>
        <w:tc>
          <w:tcPr>
            <w:tcW w:type="dxa" w:w="4535"/>
          </w:tcPr>
          <w:p>
            <w:r>
              <w:rPr>
                <w:sz w:val="18"/>
              </w:rPr>
              <w:t>Preservative Efficacy Testing (Ph. Eur. 5.1.3)</w:t>
            </w:r>
          </w:p>
        </w:tc>
        <w:tc>
          <w:tcPr>
            <w:tcW w:type="dxa" w:w="5102"/>
          </w:tcPr>
          <w:p>
            <w:r>
              <w:rPr>
                <w:sz w:val="18"/>
              </w:rPr>
              <w:t>Pass — Criteria A</w:t>
            </w:r>
          </w:p>
        </w:tc>
      </w:tr>
      <w:tr>
        <w:tc>
          <w:tcPr>
            <w:tcW w:type="dxa" w:w="4535"/>
          </w:tcPr>
          <w:p>
            <w:r>
              <w:rPr>
                <w:sz w:val="18"/>
              </w:rPr>
              <w:t>Stability testing</w:t>
            </w:r>
          </w:p>
        </w:tc>
        <w:tc>
          <w:tcPr>
            <w:tcW w:type="dxa" w:w="5102"/>
          </w:tcPr>
          <w:p>
            <w:r>
              <w:rPr>
                <w:sz w:val="18"/>
              </w:rPr>
              <w:t>Pass — accelerated stability supports 24 month shelf life, 12 month PAO</w:t>
            </w:r>
          </w:p>
        </w:tc>
      </w:tr>
      <w:tr>
        <w:tc>
          <w:tcPr>
            <w:tcW w:type="dxa" w:w="4535"/>
          </w:tcPr>
          <w:p>
            <w:r>
              <w:rPr>
                <w:sz w:val="18"/>
              </w:rPr>
              <w:t>Animal testing</w:t>
            </w:r>
          </w:p>
        </w:tc>
        <w:tc>
          <w:tcPr>
            <w:tcW w:type="dxa" w:w="5102"/>
          </w:tcPr>
          <w:p>
            <w:r>
              <w:rPr>
                <w:sz w:val="18"/>
              </w:rPr>
              <w:t>Not tested on animals (Article 18 of EC 1223/2009)</w:t>
            </w:r>
          </w:p>
        </w:tc>
      </w:tr>
      <w:tr>
        <w:tc>
          <w:tcPr>
            <w:tcW w:type="dxa" w:w="4535"/>
          </w:tcPr>
          <w:p>
            <w:r>
              <w:rPr>
                <w:sz w:val="18"/>
              </w:rPr>
              <w:t>Restricted substances</w:t>
            </w:r>
          </w:p>
        </w:tc>
        <w:tc>
          <w:tcPr>
            <w:tcW w:type="dxa" w:w="5102"/>
          </w:tcPr>
          <w:p>
            <w:r>
              <w:rPr>
                <w:sz w:val="18"/>
              </w:rPr>
              <w:t>Compliant — no Annex II substances; Annex III substances within limits</w:t>
            </w:r>
          </w:p>
        </w:tc>
      </w:tr>
    </w:tbl>
    <w:p>
      <w:pPr>
        <w:spacing w:before="360" w:after="120"/>
      </w:pPr>
      <w:r>
        <w:rPr>
          <w:b/>
          <w:color w:val="1F3A5F"/>
          <w:sz w:val="32"/>
        </w:rPr>
        <w:t>Important Notes</w:t>
      </w:r>
    </w:p>
    <w:p>
      <w:r>
        <w:rPr>
          <w:b w:val="0"/>
          <w:i w:val="0"/>
          <w:sz w:val="20"/>
        </w:rPr>
        <w:t>The full Cosmetic Product Safety Report (CPSR) and Product Information File (PIF) contain proprietary formulation data and are not distributed publicly. They are held by the manufacturer and the appointed EU Responsible Person, and are available to competent regulatory authorities on request.</w:t>
      </w:r>
    </w:p>
    <w:p>
      <w:r>
        <w:rPr>
          <w:b w:val="0"/>
          <w:i w:val="0"/>
          <w:sz w:val="20"/>
        </w:rPr>
        <w:t>This certificate may be shared with retailers, distributors and customers as evidence of regulatory compliance. A redacted PIF may be made available under non-disclosure agreement on written request to admin@cellular-cosmetics.com.</w:t>
      </w:r>
    </w:p>
    <w:p>
      <w:pPr>
        <w:spacing w:before="240" w:after="80"/>
      </w:pPr>
      <w:r>
        <w:rPr>
          <w:b/>
          <w:color w:val="1F3A5F"/>
          <w:sz w:val="26"/>
        </w:rPr>
        <w:t>Signed on behalf of Cellular Cosmetics Pty Ltd</w:t>
      </w:r>
    </w:p>
    <w:tbl>
      <w:tblPr>
        <w:tblStyle w:val="LightGrid-Accent1"/>
        <w:tblW w:type="auto" w:w="0"/>
        <w:tblLook w:firstColumn="1" w:firstRow="1" w:lastColumn="0" w:lastRow="0" w:noHBand="0" w:noVBand="1" w:val="04A0"/>
      </w:tblPr>
      <w:tblGrid>
        <w:gridCol w:w="4986"/>
        <w:gridCol w:w="4986"/>
      </w:tblGrid>
      <w:tr>
        <w:tc>
          <w:tcPr>
            <w:tcW w:type="dxa" w:w="2835"/>
            <w:shd w:val="clear" w:color="auto" w:fill="1F3A5F"/>
          </w:tcPr>
          <w:p>
            <w:r/>
            <w:r>
              <w:rPr>
                <w:b/>
                <w:color w:val="FFFFFF"/>
                <w:sz w:val="20"/>
              </w:rPr>
              <w:t>Field</w:t>
            </w:r>
          </w:p>
        </w:tc>
        <w:tc>
          <w:tcPr>
            <w:tcW w:type="dxa" w:w="6803"/>
            <w:shd w:val="clear" w:color="auto" w:fill="1F3A5F"/>
          </w:tcPr>
          <w:p>
            <w:r/>
            <w:r>
              <w:rPr>
                <w:b/>
                <w:color w:val="FFFFFF"/>
                <w:sz w:val="20"/>
              </w:rPr>
              <w:t>Detail</w:t>
            </w:r>
          </w:p>
        </w:tc>
      </w:tr>
      <w:tr>
        <w:tc>
          <w:tcPr>
            <w:tcW w:type="dxa" w:w="2835"/>
          </w:tcPr>
          <w:p>
            <w:r>
              <w:rPr>
                <w:sz w:val="18"/>
              </w:rPr>
              <w:t>Name</w:t>
            </w:r>
          </w:p>
        </w:tc>
        <w:tc>
          <w:tcPr>
            <w:tcW w:type="dxa" w:w="6803"/>
          </w:tcPr>
          <w:p>
            <w:r>
              <w:rPr>
                <w:sz w:val="18"/>
              </w:rPr>
              <w:t>Jonathan Kafritsas</w:t>
            </w:r>
          </w:p>
        </w:tc>
      </w:tr>
      <w:tr>
        <w:tc>
          <w:tcPr>
            <w:tcW w:type="dxa" w:w="2835"/>
          </w:tcPr>
          <w:p>
            <w:r>
              <w:rPr>
                <w:sz w:val="18"/>
              </w:rPr>
              <w:t>Position</w:t>
            </w:r>
          </w:p>
        </w:tc>
        <w:tc>
          <w:tcPr>
            <w:tcW w:type="dxa" w:w="6803"/>
          </w:tcPr>
          <w:p>
            <w:r>
              <w:rPr>
                <w:sz w:val="18"/>
              </w:rPr>
              <w:t>Safety Assessor</w:t>
            </w:r>
          </w:p>
        </w:tc>
      </w:tr>
      <w:tr>
        <w:tc>
          <w:tcPr>
            <w:tcW w:type="dxa" w:w="2835"/>
          </w:tcPr>
          <w:p>
            <w:r>
              <w:rPr>
                <w:sz w:val="18"/>
              </w:rPr>
              <w:t>Qualifications</w:t>
            </w:r>
          </w:p>
        </w:tc>
        <w:tc>
          <w:tcPr>
            <w:tcW w:type="dxa" w:w="6803"/>
          </w:tcPr>
          <w:p>
            <w:r>
              <w:rPr>
                <w:sz w:val="18"/>
              </w:rPr>
              <w:t>Bachelor of Biomedical Science &amp; Medical Research, Griffith University</w:t>
            </w:r>
          </w:p>
        </w:tc>
      </w:tr>
      <w:tr>
        <w:tc>
          <w:tcPr>
            <w:tcW w:type="dxa" w:w="2835"/>
          </w:tcPr>
          <w:p>
            <w:r>
              <w:rPr>
                <w:sz w:val="18"/>
              </w:rPr>
              <w:t>Date</w:t>
            </w:r>
          </w:p>
        </w:tc>
        <w:tc>
          <w:tcPr>
            <w:tcW w:type="dxa" w:w="6803"/>
          </w:tcPr>
          <w:p>
            <w:r>
              <w:rPr>
                <w:sz w:val="18"/>
              </w:rPr>
              <w:t>21 October 2026</w:t>
            </w:r>
          </w:p>
        </w:tc>
      </w:tr>
    </w:tbl>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