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pPr>
      <w:r>
        <w:rPr>
          <w:b w:val="1"/>
          <w:bCs w:val="1"/>
          <w:sz w:val="32"/>
          <w:szCs w:val="32"/>
          <w:rtl w:val="0"/>
          <w:lang w:val="en-US"/>
        </w:rPr>
        <w:t>SAFETY DATA SHEET</w:t>
      </w:r>
    </w:p>
    <w:p>
      <w:pPr>
        <w:pStyle w:val="Body"/>
        <w:jc w:val="center"/>
      </w:pPr>
      <w:r>
        <w:rPr>
          <w:rtl w:val="0"/>
          <w:lang w:val="en-US"/>
        </w:rPr>
        <w:t>Prepared in accordance with GHS / REACH Regulation (EC) No 1907/2006</w:t>
      </w:r>
    </w:p>
    <w:p>
      <w:pPr>
        <w:pStyle w:val="Body"/>
        <w:jc w:val="center"/>
      </w:pPr>
      <w:r>
        <w:rPr>
          <w:b w:val="1"/>
          <w:bCs w:val="1"/>
          <w:sz w:val="28"/>
          <w:szCs w:val="28"/>
          <w:rtl w:val="0"/>
          <w:lang w:val="de-DE"/>
        </w:rPr>
        <w:t>Salmon PDRN Regenerative Serum</w:t>
      </w:r>
    </w:p>
    <w:p>
      <w:pPr>
        <w:pStyle w:val="Heading 2"/>
      </w:pPr>
      <w:r>
        <w:rPr>
          <w:rtl w:val="0"/>
          <w:lang w:val="it-IT"/>
        </w:rPr>
        <w:t>1. Identification</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Issue Date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21 October 2026</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Revision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1.2</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SDS Number</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SDS-SDN-001</w:t>
            </w:r>
          </w:p>
        </w:tc>
      </w:tr>
    </w:tbl>
    <w:p>
      <w:pPr>
        <w:pStyle w:val="Heading 2"/>
        <w:widowControl w:val="0"/>
        <w:spacing w:line="240" w:lineRule="auto"/>
        <w:jc w:val="center"/>
      </w:pPr>
    </w:p>
    <w:p>
      <w:pPr>
        <w:pStyle w:val="Body"/>
      </w:pP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Product Name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Salmon PDRN Regenerative Serum</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Product Code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SDN</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Recommended Use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Leave-on facial serum</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Restrictions on Use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Cosmetic use only. External use. Do not ingest.</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Manufacturer</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Cellular Cosmetics Pty Ltd</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ABN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73 668 909 984</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Address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1/7 Activity Crescent, Molendinar, QLD, Australia</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Email</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admin@cellular-cosmetics.com</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Emergency Contact</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admin@cellular-cosmetics.com (business hours)</w:t>
            </w:r>
          </w:p>
        </w:tc>
      </w:tr>
    </w:tbl>
    <w:p>
      <w:pPr>
        <w:pStyle w:val="Body"/>
        <w:widowControl w:val="0"/>
        <w:spacing w:line="240" w:lineRule="auto"/>
        <w:jc w:val="center"/>
      </w:pPr>
    </w:p>
    <w:p>
      <w:pPr>
        <w:pStyle w:val="Heading 2"/>
      </w:pPr>
      <w:r>
        <w:rPr>
          <w:rtl w:val="0"/>
          <w:lang w:val="en-US"/>
        </w:rPr>
        <w:t>2. Hazard Identification</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GHS Classification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Not classified as hazardous under GHS / CLP.</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Signal Word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None</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Hazard Statements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None</w:t>
            </w:r>
          </w:p>
        </w:tc>
      </w:tr>
      <w:tr>
        <w:tblPrEx>
          <w:shd w:val="clear" w:color="auto" w:fill="ced7e7"/>
        </w:tblPrEx>
        <w:trPr>
          <w:trHeight w:val="6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Precautionary Statements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P102 Keep out of reach of children. P305+P351+P338 IF IN EYES: Rinse cautiously with water for several minutes.</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Other Hazards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None known.</w:t>
            </w:r>
          </w:p>
        </w:tc>
      </w:tr>
    </w:tbl>
    <w:p>
      <w:pPr>
        <w:pStyle w:val="Heading 2"/>
        <w:widowControl w:val="0"/>
        <w:spacing w:line="240" w:lineRule="auto"/>
        <w:jc w:val="center"/>
      </w:pPr>
    </w:p>
    <w:p>
      <w:pPr>
        <w:pStyle w:val="Heading 2"/>
      </w:pPr>
      <w:r>
        <w:rPr>
          <w:rtl w:val="0"/>
          <w:lang w:val="en-US"/>
        </w:rPr>
        <w:t>3. Composition / Information on Ingredients</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Product Type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Mixture (cosmetic finished product)</w:t>
            </w:r>
          </w:p>
        </w:tc>
      </w:tr>
      <w:tr>
        <w:tblPrEx>
          <w:shd w:val="clear" w:color="auto" w:fill="ced7e7"/>
        </w:tblPrEx>
        <w:trPr>
          <w:trHeight w:val="1290"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Composition Disclosure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rFonts w:ascii="Calibri" w:hAnsi="Calibri"/>
                <w:rtl w:val="0"/>
                <w:lang w:val="en-US"/>
              </w:rPr>
            </w:r>
            <w:r>
              <w:rPr>
                <w:rFonts w:ascii="Calibri" w:hAnsi="Calibri"/>
                <w:rtl w:val="0"/>
                <w:lang w:val="en-US"/>
              </w:rPr>
            </w:r>
            <w:r>
              <w:rPr>
                <w:rFonts w:ascii="Calibri" w:hAnsi="Calibri"/>
                <w:rtl w:val="0"/>
                <w:lang w:val="it-IT"/>
              </w:rPr>
              <w:t>The full quantitative composition is proprietary and confidential. Hazardous ingredients above GHS disclosure thresholds are listed in Section 15. Full INCI list available on product label and on request from the manufacturer.</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Fragrance Allergens Declared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 xml:space="preserve">None </w:t>
            </w:r>
            <w:r>
              <w:rPr>
                <w:shd w:val="nil" w:color="auto" w:fill="auto"/>
                <w:rtl w:val="0"/>
                <w:lang w:val="en-US"/>
              </w:rPr>
              <w:t xml:space="preserve">— </w:t>
            </w:r>
            <w:r>
              <w:rPr>
                <w:shd w:val="nil" w:color="auto" w:fill="auto"/>
                <w:rtl w:val="0"/>
                <w:lang w:val="en-US"/>
              </w:rPr>
              <w:t>product is fragrance-free</w:t>
            </w:r>
          </w:p>
        </w:tc>
      </w:tr>
    </w:tbl>
    <w:p>
      <w:pPr>
        <w:pStyle w:val="Heading 2"/>
        <w:widowControl w:val="0"/>
        <w:spacing w:line="240" w:lineRule="auto"/>
        <w:jc w:val="center"/>
      </w:pPr>
    </w:p>
    <w:p>
      <w:pPr>
        <w:pStyle w:val="Body"/>
      </w:pPr>
    </w:p>
    <w:p>
      <w:pPr>
        <w:pStyle w:val="Body"/>
        <w:widowControl w:val="0"/>
        <w:spacing w:line="240" w:lineRule="auto"/>
        <w:jc w:val="center"/>
      </w:pPr>
    </w:p>
    <w:p>
      <w:pPr>
        <w:pStyle w:val="Body"/>
      </w:pPr>
    </w:p>
    <w:p>
      <w:pPr>
        <w:pStyle w:val="Body"/>
      </w:pPr>
      <w:r>
        <w:rPr>
          <w:rtl w:val="0"/>
          <w:lang w:val="en-US"/>
        </w:rPr>
        <w:t>Phthalate Declaration: No prohibited phthalates (DEHP, DBP, BBP, DIBP) detected.</w:t>
      </w:r>
    </w:p>
    <w:p>
      <w:pPr>
        <w:pStyle w:val="Heading 2"/>
      </w:pPr>
      <w:r>
        <w:rPr>
          <w:rtl w:val="0"/>
          <w:lang w:val="en-US"/>
        </w:rPr>
        <w:t>4. First Aid Measures</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6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Eye Contact</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Rinse cautiously with water for several minutes. Remove contact lenses if present. Seek medical attention if irritation persists.</w:t>
            </w:r>
          </w:p>
        </w:tc>
      </w:tr>
      <w:tr>
        <w:tblPrEx>
          <w:shd w:val="clear" w:color="auto" w:fill="ced7e7"/>
        </w:tblPrEx>
        <w:trPr>
          <w:trHeight w:val="4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Skin Contact</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Discontinue use. Rinse with water. Seek medical attention if irritation persists.</w:t>
            </w:r>
          </w:p>
        </w:tc>
      </w:tr>
      <w:tr>
        <w:tblPrEx>
          <w:shd w:val="clear" w:color="auto" w:fill="ced7e7"/>
        </w:tblPrEx>
        <w:trPr>
          <w:trHeight w:val="4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Inhalation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Not a normal route of exposure. Move to fresh air if symptoms occur.</w:t>
            </w:r>
          </w:p>
        </w:tc>
      </w:tr>
      <w:tr>
        <w:tblPrEx>
          <w:shd w:val="clear" w:color="auto" w:fill="ced7e7"/>
        </w:tblPrEx>
        <w:trPr>
          <w:trHeight w:val="4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Ingestion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Do NOT induce vomiting. Rinse mouth with water. Seek medical attention.</w:t>
            </w:r>
          </w:p>
        </w:tc>
      </w:tr>
    </w:tbl>
    <w:p>
      <w:pPr>
        <w:pStyle w:val="Heading 2"/>
        <w:widowControl w:val="0"/>
        <w:spacing w:line="240" w:lineRule="auto"/>
        <w:jc w:val="center"/>
      </w:pPr>
    </w:p>
    <w:p>
      <w:pPr>
        <w:pStyle w:val="Heading 2"/>
      </w:pPr>
      <w:r>
        <w:rPr>
          <w:rtl w:val="0"/>
          <w:lang w:val="en-US"/>
        </w:rPr>
        <w:t>5. Firefighting Measures</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Suitable Extinguishing Media</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Water spray, foam, dry chemical, CO2.</w:t>
            </w:r>
          </w:p>
        </w:tc>
      </w:tr>
      <w:tr>
        <w:tblPrEx>
          <w:shd w:val="clear" w:color="auto" w:fill="ced7e7"/>
        </w:tblPrEx>
        <w:trPr>
          <w:trHeight w:val="4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Specific Hazards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None known. Not flammable under normal conditions.</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Special PPE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Standard firefighting equipment.</w:t>
            </w:r>
          </w:p>
        </w:tc>
      </w:tr>
    </w:tbl>
    <w:p>
      <w:pPr>
        <w:pStyle w:val="Heading 2"/>
        <w:widowControl w:val="0"/>
        <w:spacing w:line="240" w:lineRule="auto"/>
        <w:jc w:val="center"/>
      </w:pPr>
    </w:p>
    <w:p>
      <w:pPr>
        <w:pStyle w:val="Heading 2"/>
      </w:pPr>
      <w:r>
        <w:rPr>
          <w:rtl w:val="0"/>
          <w:lang w:val="en-US"/>
        </w:rPr>
        <w:t>6. Accidental Release Measures</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4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Personal Precautions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Avoid contact with skin and eyes. Use protective gloves.</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Environmental Precautions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Avoid release to drains and waterways.</w:t>
            </w:r>
          </w:p>
        </w:tc>
      </w:tr>
      <w:tr>
        <w:tblPrEx>
          <w:shd w:val="clear" w:color="auto" w:fill="ced7e7"/>
        </w:tblPrEx>
        <w:trPr>
          <w:trHeight w:val="4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Containment / Cleanup</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Absorb with inert material. Place in suitable container for disposal.</w:t>
            </w:r>
          </w:p>
        </w:tc>
      </w:tr>
    </w:tbl>
    <w:p>
      <w:pPr>
        <w:pStyle w:val="Heading 2"/>
        <w:widowControl w:val="0"/>
        <w:spacing w:line="240" w:lineRule="auto"/>
        <w:jc w:val="center"/>
      </w:pPr>
    </w:p>
    <w:p>
      <w:pPr>
        <w:pStyle w:val="Heading 2"/>
      </w:pPr>
      <w:r>
        <w:rPr>
          <w:rtl w:val="0"/>
          <w:lang w:val="en-US"/>
        </w:rPr>
        <w:t>7. Handling and Storage</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4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Handling</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Use only as directed. Avoid contact with eyes. Wash hands after handling.</w:t>
            </w:r>
          </w:p>
        </w:tc>
      </w:tr>
      <w:tr>
        <w:tblPrEx>
          <w:shd w:val="clear" w:color="auto" w:fill="ced7e7"/>
        </w:tblPrEx>
        <w:trPr>
          <w:trHeight w:val="4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Storage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 xml:space="preserve">Store below 25 </w:t>
            </w:r>
            <w:r>
              <w:rPr>
                <w:shd w:val="nil" w:color="auto" w:fill="auto"/>
                <w:rtl w:val="0"/>
                <w:lang w:val="en-US"/>
              </w:rPr>
              <w:t>°</w:t>
            </w:r>
            <w:r>
              <w:rPr>
                <w:shd w:val="nil" w:color="auto" w:fill="auto"/>
                <w:rtl w:val="0"/>
                <w:lang w:val="en-US"/>
              </w:rPr>
              <w:t>C, away from direct sunlight. Keep container tightly closed.</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Incompatibilities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None known.</w:t>
            </w:r>
          </w:p>
        </w:tc>
      </w:tr>
    </w:tbl>
    <w:p>
      <w:pPr>
        <w:pStyle w:val="Heading 2"/>
        <w:widowControl w:val="0"/>
        <w:spacing w:line="240" w:lineRule="auto"/>
        <w:jc w:val="center"/>
      </w:pPr>
    </w:p>
    <w:p>
      <w:pPr>
        <w:pStyle w:val="Heading 2"/>
      </w:pPr>
      <w:r>
        <w:rPr>
          <w:rtl w:val="0"/>
          <w:lang w:val="en-US"/>
        </w:rPr>
        <w:t>8. Exposure Controls / Personal Protection</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Exposure Limits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 OELs established for finished cosmetic product.</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Engineering Controls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Adequate general ventilation.</w:t>
            </w:r>
          </w:p>
        </w:tc>
      </w:tr>
      <w:tr>
        <w:tblPrEx>
          <w:shd w:val="clear" w:color="auto" w:fill="ced7e7"/>
        </w:tblPrEx>
        <w:trPr>
          <w:trHeight w:val="4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Personal Protection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Not required for end-user. For bulk handling: gloves, eye protection.</w:t>
            </w:r>
          </w:p>
        </w:tc>
      </w:tr>
    </w:tbl>
    <w:p>
      <w:pPr>
        <w:pStyle w:val="Heading 2"/>
        <w:widowControl w:val="0"/>
        <w:spacing w:line="240" w:lineRule="auto"/>
        <w:jc w:val="center"/>
      </w:pPr>
    </w:p>
    <w:p>
      <w:pPr>
        <w:pStyle w:val="Heading 2"/>
      </w:pPr>
      <w:r>
        <w:rPr>
          <w:rtl w:val="0"/>
          <w:lang w:val="en-US"/>
        </w:rPr>
        <w:t>9. Physical and Chemical Properties</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Appearance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Clear to slightly viscous liquid</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Odour</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Odourless to faint characteristic</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pH</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 xml:space="preserve">5.7 </w:t>
            </w:r>
            <w:r>
              <w:rPr>
                <w:shd w:val="nil" w:color="auto" w:fill="auto"/>
                <w:rtl w:val="0"/>
                <w:lang w:val="en-US"/>
              </w:rPr>
              <w:t xml:space="preserve">– </w:t>
            </w:r>
            <w:r>
              <w:rPr>
                <w:shd w:val="nil" w:color="auto" w:fill="auto"/>
                <w:rtl w:val="0"/>
                <w:lang w:val="en-US"/>
              </w:rPr>
              <w:t>6.0</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Solubility in water</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Miscible / dispersible</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Flash point</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 xml:space="preserve">Not applicable (aqueous </w:t>
            </w:r>
            <w:r>
              <w:rPr>
                <w:shd w:val="nil" w:color="auto" w:fill="auto"/>
                <w:rtl w:val="0"/>
                <w:lang w:val="en-US"/>
              </w:rPr>
              <w:t xml:space="preserve">— </w:t>
            </w:r>
            <w:r>
              <w:rPr>
                <w:shd w:val="nil" w:color="auto" w:fill="auto"/>
                <w:rtl w:val="0"/>
                <w:lang w:val="en-US"/>
              </w:rPr>
              <w:t>non-flammable)</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Density</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~1.0 g/mL</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Flammability</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 xml:space="preserve">Not applicable (aqueous </w:t>
            </w:r>
            <w:r>
              <w:rPr>
                <w:shd w:val="nil" w:color="auto" w:fill="auto"/>
                <w:rtl w:val="0"/>
                <w:lang w:val="en-US"/>
              </w:rPr>
              <w:t xml:space="preserve">— </w:t>
            </w:r>
            <w:r>
              <w:rPr>
                <w:shd w:val="nil" w:color="auto" w:fill="auto"/>
                <w:rtl w:val="0"/>
                <w:lang w:val="en-US"/>
              </w:rPr>
              <w:t>non-flammable)</w:t>
            </w:r>
          </w:p>
        </w:tc>
      </w:tr>
    </w:tbl>
    <w:p>
      <w:pPr>
        <w:pStyle w:val="Heading 2"/>
        <w:widowControl w:val="0"/>
        <w:spacing w:line="240" w:lineRule="auto"/>
        <w:jc w:val="center"/>
      </w:pPr>
    </w:p>
    <w:p>
      <w:pPr>
        <w:pStyle w:val="Heading 2"/>
      </w:pPr>
      <w:r>
        <w:rPr>
          <w:rtl w:val="0"/>
          <w:lang w:val="en-US"/>
        </w:rPr>
        <w:t>10. Stability and Reactivity</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Reactivity</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Stable under normal conditions.</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Chemical Stability</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Stable.</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Hazardous Reactions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None known.</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Conditions to Avoid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Excessive heat, direct sunlight, freezing.</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Incompatible Materials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Strong oxidising agents.</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Hazardous Decomposition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None expected.</w:t>
            </w:r>
          </w:p>
        </w:tc>
      </w:tr>
    </w:tbl>
    <w:p>
      <w:pPr>
        <w:pStyle w:val="Heading 2"/>
        <w:widowControl w:val="0"/>
        <w:spacing w:line="240" w:lineRule="auto"/>
        <w:jc w:val="center"/>
      </w:pPr>
    </w:p>
    <w:p>
      <w:pPr>
        <w:pStyle w:val="Heading 2"/>
      </w:pPr>
      <w:r>
        <w:rPr>
          <w:rtl w:val="0"/>
          <w:lang w:val="it-IT"/>
        </w:rPr>
        <w:t>11. Toxicological Information</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4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Acute Toxicity</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Not classified. Assessed as safe under EC 1223/2009.</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Skin Irritation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Not classified under normal use.</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Eye Irritation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May cause mild eye irritation on direct contact.</w:t>
            </w:r>
          </w:p>
        </w:tc>
      </w:tr>
      <w:tr>
        <w:tblPrEx>
          <w:shd w:val="clear" w:color="auto" w:fill="ced7e7"/>
        </w:tblPrEx>
        <w:trPr>
          <w:trHeight w:val="6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Sensitisation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 fragrance allergens present (fragrance-free). Not classified as a skin sensitiser under normal conditions of use.</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CMR</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None of the ingredients are classified as CMR.</w:t>
            </w:r>
          </w:p>
        </w:tc>
      </w:tr>
    </w:tbl>
    <w:p>
      <w:pPr>
        <w:pStyle w:val="Heading 2"/>
        <w:widowControl w:val="0"/>
        <w:spacing w:line="240" w:lineRule="auto"/>
        <w:jc w:val="center"/>
      </w:pPr>
    </w:p>
    <w:p>
      <w:pPr>
        <w:pStyle w:val="Heading 2"/>
      </w:pPr>
      <w:r>
        <w:rPr>
          <w:rtl w:val="0"/>
          <w:lang w:val="it-IT"/>
        </w:rPr>
        <w:t>12. Ecological Information</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4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Aquatic Toxicity</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Not classified. Biodegradable or readily diluted at use levels.</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Persistence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Not expected to persist.</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Bioaccumulation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Not expected.</w:t>
            </w:r>
          </w:p>
        </w:tc>
      </w:tr>
    </w:tbl>
    <w:p>
      <w:pPr>
        <w:pStyle w:val="Heading 2"/>
        <w:widowControl w:val="0"/>
        <w:spacing w:line="240" w:lineRule="auto"/>
        <w:jc w:val="center"/>
      </w:pPr>
    </w:p>
    <w:p>
      <w:pPr>
        <w:pStyle w:val="Heading 2"/>
      </w:pPr>
      <w:r>
        <w:rPr>
          <w:rtl w:val="0"/>
          <w:lang w:val="it-IT"/>
        </w:rPr>
        <w:t>13. Disposal Considerations</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4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Waste Disposal</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Dispose per local regulations. Empty containers may be recycled.</w:t>
            </w:r>
          </w:p>
        </w:tc>
      </w:tr>
    </w:tbl>
    <w:p>
      <w:pPr>
        <w:pStyle w:val="Heading 2"/>
        <w:widowControl w:val="0"/>
        <w:spacing w:line="240" w:lineRule="auto"/>
        <w:jc w:val="center"/>
      </w:pPr>
    </w:p>
    <w:p>
      <w:pPr>
        <w:pStyle w:val="Heading 2"/>
      </w:pPr>
      <w:r>
        <w:rPr>
          <w:rtl w:val="0"/>
          <w:lang w:val="en-US"/>
        </w:rPr>
        <w:t>14. Transport Information</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UN Number</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Not regulated</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Proper Shipping Name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Not regulated</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Transport Hazard Class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Not regulated</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Packing Group</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N/A</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Marine Pollutant</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w:t>
            </w:r>
          </w:p>
        </w:tc>
      </w:tr>
    </w:tbl>
    <w:p>
      <w:pPr>
        <w:pStyle w:val="Heading 2"/>
        <w:widowControl w:val="0"/>
        <w:spacing w:line="240" w:lineRule="auto"/>
        <w:jc w:val="center"/>
      </w:pPr>
    </w:p>
    <w:p>
      <w:pPr>
        <w:pStyle w:val="Heading 2"/>
      </w:pPr>
      <w:r>
        <w:rPr>
          <w:rtl w:val="0"/>
          <w:lang w:val="en-US"/>
        </w:rPr>
        <w:t>15. Regulatory Information</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Australia</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 xml:space="preserve">AICIS </w:t>
            </w:r>
            <w:r>
              <w:rPr>
                <w:shd w:val="nil" w:color="auto" w:fill="auto"/>
                <w:rtl w:val="0"/>
                <w:lang w:val="en-US"/>
              </w:rPr>
              <w:t xml:space="preserve">— </w:t>
            </w:r>
            <w:r>
              <w:rPr>
                <w:shd w:val="nil" w:color="auto" w:fill="auto"/>
                <w:rtl w:val="0"/>
                <w:lang w:val="en-US"/>
              </w:rPr>
              <w:t>all ingredients listed or exempt.</w:t>
            </w:r>
          </w:p>
        </w:tc>
      </w:tr>
      <w:tr>
        <w:tblPrEx>
          <w:shd w:val="clear" w:color="auto" w:fill="ced7e7"/>
        </w:tblPrEx>
        <w:trPr>
          <w:trHeight w:val="6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EU</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 xml:space="preserve">Compliant with EC 1223/2009. Product is fragrance-free </w:t>
            </w:r>
            <w:r>
              <w:rPr>
                <w:shd w:val="nil" w:color="auto" w:fill="auto"/>
                <w:rtl w:val="0"/>
                <w:lang w:val="en-US"/>
              </w:rPr>
              <w:t xml:space="preserve">— </w:t>
            </w:r>
            <w:r>
              <w:rPr>
                <w:shd w:val="nil" w:color="auto" w:fill="auto"/>
                <w:rtl w:val="0"/>
                <w:lang w:val="en-US"/>
              </w:rPr>
              <w:t>no Annex III allergen declarations required.</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USA</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FDA Cosmetic regulations 21 CFR.</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Hazardous Ingredients (&gt;1%)</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None above GHS disclosure thresholds.</w:t>
            </w:r>
          </w:p>
        </w:tc>
      </w:tr>
    </w:tbl>
    <w:p>
      <w:pPr>
        <w:pStyle w:val="Heading 2"/>
        <w:widowControl w:val="0"/>
        <w:spacing w:line="240" w:lineRule="auto"/>
        <w:jc w:val="center"/>
      </w:pPr>
    </w:p>
    <w:p>
      <w:pPr>
        <w:pStyle w:val="Heading 2"/>
      </w:pPr>
      <w:r>
        <w:rPr>
          <w:rtl w:val="0"/>
          <w:lang w:val="en-US"/>
        </w:rPr>
        <w:t>16. Other Information</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320"/>
        <w:gridCol w:w="4320"/>
      </w:tblGrid>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pPr>
            <w:r>
              <w:rPr>
                <w:b w:val="1"/>
                <w:bCs w:val="1"/>
                <w:shd w:val="nil" w:color="auto" w:fill="auto"/>
                <w:rtl w:val="0"/>
                <w:lang w:val="en-US"/>
              </w:rPr>
              <w:t>Field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e2f3"/>
            <w:tcMar>
              <w:top w:type="dxa" w:w="80"/>
              <w:left w:type="dxa" w:w="80"/>
              <w:bottom w:type="dxa" w:w="80"/>
              <w:right w:type="dxa" w:w="80"/>
            </w:tcMar>
            <w:vAlign w:val="top"/>
          </w:tcPr>
          <w:p>
            <w:pPr>
              <w:pStyle w:val="Body"/>
              <w:spacing w:after="0" w:line="240" w:lineRule="auto"/>
            </w:pPr>
            <w:r>
              <w:rPr>
                <w:b w:val="1"/>
                <w:bCs w:val="1"/>
                <w:shd w:val="nil" w:color="auto" w:fill="auto"/>
                <w:rtl w:val="0"/>
                <w:lang w:val="en-US"/>
              </w:rPr>
              <w:t>Detail</w:t>
            </w:r>
          </w:p>
        </w:tc>
      </w:tr>
      <w:tr>
        <w:tblPrEx>
          <w:shd w:val="clear" w:color="auto" w:fill="ced7e7"/>
        </w:tblPrEx>
        <w:trPr>
          <w:trHeight w:val="8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Disclaimer</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This SDS has been prepared in good faith. The manufacturer makes no warranty of merchantability or any other warranty, express or implied, with respect to such information.</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Prepared By</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Jonathan Kafritsas, Cellular Cosmetics Pty Ltd</w:t>
            </w:r>
          </w:p>
        </w:tc>
      </w:tr>
      <w:tr>
        <w:tblPrEx>
          <w:shd w:val="clear" w:color="auto" w:fill="ced7e7"/>
        </w:tblPrEx>
        <w:trPr>
          <w:trHeight w:val="204" w:hRule="atLeast"/>
        </w:trPr>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Issue Date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pPr>
            <w:r>
              <w:rPr>
                <w:shd w:val="nil" w:color="auto" w:fill="auto"/>
                <w:rtl w:val="0"/>
                <w:lang w:val="en-US"/>
              </w:rPr>
              <w:t>21 October 2026</w:t>
            </w:r>
          </w:p>
        </w:tc>
      </w:tr>
    </w:tbl>
    <w:p>
      <w:pPr>
        <w:pStyle w:val="Heading 2"/>
        <w:widowControl w:val="0"/>
        <w:spacing w:line="240" w:lineRule="auto"/>
        <w:jc w:val="center"/>
      </w:pPr>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18"/>
      <w:szCs w:val="18"/>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200" w:after="0" w:line="276" w:lineRule="auto"/>
      <w:ind w:left="0" w:right="0" w:firstLine="0"/>
      <w:jc w:val="left"/>
      <w:outlineLvl w:val="1"/>
    </w:pPr>
    <w:rPr>
      <w:rFonts w:ascii="Calibri" w:cs="Arial Unicode MS" w:hAnsi="Calibri" w:eastAsia="Arial Unicode MS"/>
      <w:b w:val="1"/>
      <w:bCs w:val="1"/>
      <w:i w:val="0"/>
      <w:iCs w:val="0"/>
      <w:caps w:val="0"/>
      <w:smallCaps w:val="0"/>
      <w:strike w:val="0"/>
      <w:dstrike w:val="0"/>
      <w:outline w:val="0"/>
      <w:color w:val="4f81bd"/>
      <w:spacing w:val="0"/>
      <w:kern w:val="0"/>
      <w:position w:val="0"/>
      <w:sz w:val="26"/>
      <w:szCs w:val="26"/>
      <w:u w:val="none" w:color="4f81bd"/>
      <w:shd w:val="nil" w:color="auto" w:fill="auto"/>
      <w:vertAlign w:val="baseline"/>
      <w:lang w:val="it-IT"/>
      <w14:textOutline>
        <w14:noFill/>
      </w14:textOutline>
      <w14:textFill>
        <w14:solidFill>
          <w14:srgbClr w14:val="4F81BD"/>
        </w14:solidFill>
      </w14:textFill>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