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F3A5F"/>
          <w:sz w:val="44"/>
        </w:rPr>
        <w:t>SAFETY DATA SHEET</w:t>
      </w:r>
    </w:p>
    <w:p>
      <w:pPr>
        <w:jc w:val="center"/>
      </w:pPr>
      <w:r>
        <w:rPr>
          <w:i/>
          <w:sz w:val="20"/>
        </w:rPr>
        <w:t>Prepared in accordance with GHS / REACH Regulation (EC) No 1907/2006 (Annex II as amended)</w:t>
      </w:r>
    </w:p>
    <w:p>
      <w:pPr>
        <w:jc w:val="center"/>
      </w:pPr>
      <w:r>
        <w:rPr>
          <w:b/>
          <w:sz w:val="32"/>
        </w:rPr>
        <w:t>Makeup Melting Balm</w:t>
      </w:r>
    </w:p>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Issue Date</w:t>
            </w:r>
          </w:p>
        </w:tc>
        <w:tc>
          <w:tcPr>
            <w:tcW w:type="dxa" w:w="6803"/>
          </w:tcPr>
          <w:p>
            <w:r>
              <w:rPr>
                <w:sz w:val="18"/>
              </w:rPr>
              <w:t>09 April 2026</w:t>
            </w:r>
          </w:p>
        </w:tc>
      </w:tr>
      <w:tr>
        <w:tc>
          <w:tcPr>
            <w:tcW w:type="dxa" w:w="2835"/>
          </w:tcPr>
          <w:p>
            <w:r>
              <w:rPr>
                <w:sz w:val="18"/>
              </w:rPr>
              <w:t>Revision</w:t>
            </w:r>
          </w:p>
        </w:tc>
        <w:tc>
          <w:tcPr>
            <w:tcW w:type="dxa" w:w="6803"/>
          </w:tcPr>
          <w:p>
            <w:r>
              <w:rPr>
                <w:sz w:val="18"/>
              </w:rPr>
              <w:t>1.0</w:t>
            </w:r>
          </w:p>
        </w:tc>
      </w:tr>
      <w:tr>
        <w:tc>
          <w:tcPr>
            <w:tcW w:type="dxa" w:w="2835"/>
          </w:tcPr>
          <w:p>
            <w:r>
              <w:rPr>
                <w:sz w:val="18"/>
              </w:rPr>
              <w:t>SDS Number</w:t>
            </w:r>
          </w:p>
        </w:tc>
        <w:tc>
          <w:tcPr>
            <w:tcW w:type="dxa" w:w="6803"/>
          </w:tcPr>
          <w:p>
            <w:r>
              <w:rPr>
                <w:sz w:val="18"/>
              </w:rPr>
              <w:t>SDS-MAKEUPME-001</w:t>
            </w:r>
          </w:p>
        </w:tc>
      </w:tr>
    </w:tbl>
    <w:p/>
    <w:p>
      <w:pPr>
        <w:spacing w:before="360" w:after="120"/>
      </w:pPr>
      <w:r>
        <w:rPr>
          <w:b/>
          <w:color w:val="1F3A5F"/>
          <w:sz w:val="32"/>
        </w:rPr>
        <w:t>1. Identification</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Product Name</w:t>
            </w:r>
          </w:p>
        </w:tc>
        <w:tc>
          <w:tcPr>
            <w:tcW w:type="dxa" w:w="6803"/>
          </w:tcPr>
          <w:p>
            <w:r>
              <w:rPr>
                <w:sz w:val="18"/>
              </w:rPr>
              <w:t>Makeup Melting Balm</w:t>
            </w:r>
          </w:p>
        </w:tc>
      </w:tr>
      <w:tr>
        <w:tc>
          <w:tcPr>
            <w:tcW w:type="dxa" w:w="2835"/>
          </w:tcPr>
          <w:p>
            <w:r>
              <w:rPr>
                <w:sz w:val="18"/>
              </w:rPr>
              <w:t>Product Code</w:t>
            </w:r>
          </w:p>
        </w:tc>
        <w:tc>
          <w:tcPr>
            <w:tcW w:type="dxa" w:w="6803"/>
          </w:tcPr>
          <w:p>
            <w:r>
              <w:rPr>
                <w:sz w:val="18"/>
              </w:rPr>
              <w:t>MAKEUPME</w:t>
            </w:r>
          </w:p>
        </w:tc>
      </w:tr>
      <w:tr>
        <w:tc>
          <w:tcPr>
            <w:tcW w:type="dxa" w:w="2835"/>
          </w:tcPr>
          <w:p>
            <w:r>
              <w:rPr>
                <w:sz w:val="18"/>
              </w:rPr>
              <w:t>Recommended Use</w:t>
            </w:r>
          </w:p>
        </w:tc>
        <w:tc>
          <w:tcPr>
            <w:tcW w:type="dxa" w:w="6803"/>
          </w:tcPr>
          <w:p>
            <w:r>
              <w:rPr>
                <w:sz w:val="18"/>
              </w:rPr>
              <w:t>Leave-on balm applied to targeted area</w:t>
            </w:r>
          </w:p>
        </w:tc>
      </w:tr>
      <w:tr>
        <w:tc>
          <w:tcPr>
            <w:tcW w:type="dxa" w:w="2835"/>
          </w:tcPr>
          <w:p>
            <w:r>
              <w:rPr>
                <w:sz w:val="18"/>
              </w:rPr>
              <w:t>Restrictions on Use</w:t>
            </w:r>
          </w:p>
        </w:tc>
        <w:tc>
          <w:tcPr>
            <w:tcW w:type="dxa" w:w="6803"/>
          </w:tcPr>
          <w:p>
            <w:r>
              <w:rPr>
                <w:sz w:val="18"/>
              </w:rPr>
              <w:t>Cosmetic use only. External use. Do not ingest.</w:t>
            </w:r>
          </w:p>
        </w:tc>
      </w:tr>
      <w:tr>
        <w:tc>
          <w:tcPr>
            <w:tcW w:type="dxa" w:w="2835"/>
          </w:tcPr>
          <w:p>
            <w:r>
              <w:rPr>
                <w:sz w:val="18"/>
              </w:rPr>
              <w:t>Manufacturer</w:t>
            </w:r>
          </w:p>
        </w:tc>
        <w:tc>
          <w:tcPr>
            <w:tcW w:type="dxa" w:w="6803"/>
          </w:tcPr>
          <w:p>
            <w:r>
              <w:rPr>
                <w:sz w:val="18"/>
              </w:rPr>
              <w:t>Cellular Cosmetics Pty Ltd</w:t>
            </w:r>
          </w:p>
        </w:tc>
      </w:tr>
      <w:tr>
        <w:tc>
          <w:tcPr>
            <w:tcW w:type="dxa" w:w="2835"/>
          </w:tcPr>
          <w:p>
            <w:r>
              <w:rPr>
                <w:sz w:val="18"/>
              </w:rPr>
              <w:t>ABN</w:t>
            </w:r>
          </w:p>
        </w:tc>
        <w:tc>
          <w:tcPr>
            <w:tcW w:type="dxa" w:w="6803"/>
          </w:tcPr>
          <w:p>
            <w:r>
              <w:rPr>
                <w:sz w:val="18"/>
              </w:rPr>
              <w:t>73 668 909 984</w:t>
            </w:r>
          </w:p>
        </w:tc>
      </w:tr>
      <w:tr>
        <w:tc>
          <w:tcPr>
            <w:tcW w:type="dxa" w:w="2835"/>
          </w:tcPr>
          <w:p>
            <w:r>
              <w:rPr>
                <w:sz w:val="18"/>
              </w:rPr>
              <w:t>Address</w:t>
            </w:r>
          </w:p>
        </w:tc>
        <w:tc>
          <w:tcPr>
            <w:tcW w:type="dxa" w:w="6803"/>
          </w:tcPr>
          <w:p>
            <w:r>
              <w:rPr>
                <w:sz w:val="18"/>
              </w:rPr>
              <w:t>1/7 Activity Crescent, Molendinar, QLD, Australia</w:t>
            </w:r>
          </w:p>
        </w:tc>
      </w:tr>
      <w:tr>
        <w:tc>
          <w:tcPr>
            <w:tcW w:type="dxa" w:w="2835"/>
          </w:tcPr>
          <w:p>
            <w:r>
              <w:rPr>
                <w:sz w:val="18"/>
              </w:rPr>
              <w:t>Email</w:t>
            </w:r>
          </w:p>
        </w:tc>
        <w:tc>
          <w:tcPr>
            <w:tcW w:type="dxa" w:w="6803"/>
          </w:tcPr>
          <w:p>
            <w:r>
              <w:rPr>
                <w:sz w:val="18"/>
              </w:rPr>
              <w:t>admin@cellular-cosmetics.com</w:t>
            </w:r>
          </w:p>
        </w:tc>
      </w:tr>
      <w:tr>
        <w:tc>
          <w:tcPr>
            <w:tcW w:type="dxa" w:w="2835"/>
          </w:tcPr>
          <w:p>
            <w:r>
              <w:rPr>
                <w:sz w:val="18"/>
              </w:rPr>
              <w:t>Emergency Contact</w:t>
            </w:r>
          </w:p>
        </w:tc>
        <w:tc>
          <w:tcPr>
            <w:tcW w:type="dxa" w:w="6803"/>
          </w:tcPr>
          <w:p>
            <w:r>
              <w:rPr>
                <w:sz w:val="18"/>
              </w:rPr>
              <w:t>admin@cellular-cosmetics.com (business hours)</w:t>
            </w:r>
          </w:p>
        </w:tc>
      </w:tr>
    </w:tbl>
    <w:p>
      <w:pPr>
        <w:spacing w:before="360" w:after="120"/>
      </w:pPr>
      <w:r>
        <w:rPr>
          <w:b/>
          <w:color w:val="1F3A5F"/>
          <w:sz w:val="32"/>
        </w:rPr>
        <w:t>2. Hazard Identification</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GHS Classification</w:t>
            </w:r>
          </w:p>
        </w:tc>
        <w:tc>
          <w:tcPr>
            <w:tcW w:type="dxa" w:w="6803"/>
          </w:tcPr>
          <w:p>
            <w:r>
              <w:rPr>
                <w:sz w:val="18"/>
              </w:rPr>
              <w:t>Not classified as hazardous under GHS / CLP.</w:t>
            </w:r>
          </w:p>
        </w:tc>
      </w:tr>
      <w:tr>
        <w:tc>
          <w:tcPr>
            <w:tcW w:type="dxa" w:w="2835"/>
          </w:tcPr>
          <w:p>
            <w:r>
              <w:rPr>
                <w:sz w:val="18"/>
              </w:rPr>
              <w:t>Signal Word</w:t>
            </w:r>
          </w:p>
        </w:tc>
        <w:tc>
          <w:tcPr>
            <w:tcW w:type="dxa" w:w="6803"/>
          </w:tcPr>
          <w:p>
            <w:r>
              <w:rPr>
                <w:sz w:val="18"/>
              </w:rPr>
              <w:t>None</w:t>
            </w:r>
          </w:p>
        </w:tc>
      </w:tr>
      <w:tr>
        <w:tc>
          <w:tcPr>
            <w:tcW w:type="dxa" w:w="2835"/>
          </w:tcPr>
          <w:p>
            <w:r>
              <w:rPr>
                <w:sz w:val="18"/>
              </w:rPr>
              <w:t>Hazard Statements</w:t>
            </w:r>
          </w:p>
        </w:tc>
        <w:tc>
          <w:tcPr>
            <w:tcW w:type="dxa" w:w="6803"/>
          </w:tcPr>
          <w:p>
            <w:r>
              <w:rPr>
                <w:sz w:val="18"/>
              </w:rPr>
              <w:t>None</w:t>
            </w:r>
          </w:p>
        </w:tc>
      </w:tr>
      <w:tr>
        <w:tc>
          <w:tcPr>
            <w:tcW w:type="dxa" w:w="2835"/>
          </w:tcPr>
          <w:p>
            <w:r>
              <w:rPr>
                <w:sz w:val="18"/>
              </w:rPr>
              <w:t>Precautionary Statements</w:t>
            </w:r>
          </w:p>
        </w:tc>
        <w:tc>
          <w:tcPr>
            <w:tcW w:type="dxa" w:w="6803"/>
          </w:tcPr>
          <w:p>
            <w:r>
              <w:rPr>
                <w:sz w:val="18"/>
              </w:rPr>
              <w:t>P102 Keep out of reach of children. P305+P351+P338 IF IN EYES: rinse cautiously with water for several minutes. Discontinue use if irritation occurs.</w:t>
            </w:r>
          </w:p>
        </w:tc>
      </w:tr>
      <w:tr>
        <w:tc>
          <w:tcPr>
            <w:tcW w:type="dxa" w:w="2835"/>
          </w:tcPr>
          <w:p>
            <w:r>
              <w:rPr>
                <w:sz w:val="18"/>
              </w:rPr>
              <w:t>Other Hazards</w:t>
            </w:r>
          </w:p>
        </w:tc>
        <w:tc>
          <w:tcPr>
            <w:tcW w:type="dxa" w:w="6803"/>
          </w:tcPr>
          <w:p>
            <w:r>
              <w:rPr>
                <w:sz w:val="18"/>
              </w:rPr>
              <w:t>None known.</w:t>
            </w:r>
          </w:p>
        </w:tc>
      </w:tr>
    </w:tbl>
    <w:p>
      <w:pPr>
        <w:spacing w:before="360" w:after="120"/>
      </w:pPr>
      <w:r>
        <w:rPr>
          <w:b/>
          <w:color w:val="1F3A5F"/>
          <w:sz w:val="32"/>
        </w:rPr>
        <w:t>3. Composition / Information on Ingredients</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Product Type</w:t>
            </w:r>
          </w:p>
        </w:tc>
        <w:tc>
          <w:tcPr>
            <w:tcW w:type="dxa" w:w="6803"/>
          </w:tcPr>
          <w:p>
            <w:r>
              <w:rPr>
                <w:sz w:val="18"/>
              </w:rPr>
              <w:t>Mixture (cosmetic finished product)</w:t>
            </w:r>
          </w:p>
        </w:tc>
      </w:tr>
      <w:tr>
        <w:tc>
          <w:tcPr>
            <w:tcW w:type="dxa" w:w="2835"/>
          </w:tcPr>
          <w:p>
            <w:r>
              <w:rPr>
                <w:sz w:val="18"/>
              </w:rPr>
              <w:t>Composition Disclosure</w:t>
            </w:r>
          </w:p>
        </w:tc>
        <w:tc>
          <w:tcPr>
            <w:tcW w:type="dxa" w:w="6803"/>
          </w:tcPr>
          <w:p>
            <w:r>
              <w:rPr>
                <w:sz w:val="18"/>
              </w:rPr>
              <w:t>The full quantitative composition is proprietary and confidential. Hazardous ingredients above GHS disclosure thresholds are listed in Section 15. Full INCI list available on product label and on request from the manufacturer.</w:t>
            </w:r>
          </w:p>
        </w:tc>
      </w:tr>
    </w:tbl>
    <w:p>
      <w:pPr>
        <w:spacing w:before="360" w:after="120"/>
      </w:pPr>
      <w:r>
        <w:rPr>
          <w:b/>
          <w:color w:val="1F3A5F"/>
          <w:sz w:val="32"/>
        </w:rPr>
        <w:t>4. First Aid Measures</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Eye Contact</w:t>
            </w:r>
          </w:p>
        </w:tc>
        <w:tc>
          <w:tcPr>
            <w:tcW w:type="dxa" w:w="6803"/>
          </w:tcPr>
          <w:p>
            <w:r>
              <w:rPr>
                <w:sz w:val="18"/>
              </w:rPr>
              <w:t>Rinse cautiously with water for several minutes. Remove contact lenses if present and easy to do. Continue rinsing. If eye irritation persists, seek medical advice.</w:t>
            </w:r>
          </w:p>
        </w:tc>
      </w:tr>
      <w:tr>
        <w:tc>
          <w:tcPr>
            <w:tcW w:type="dxa" w:w="2835"/>
          </w:tcPr>
          <w:p>
            <w:r>
              <w:rPr>
                <w:sz w:val="18"/>
              </w:rPr>
              <w:t>Skin Contact</w:t>
            </w:r>
          </w:p>
        </w:tc>
        <w:tc>
          <w:tcPr>
            <w:tcW w:type="dxa" w:w="6803"/>
          </w:tcPr>
          <w:p>
            <w:r>
              <w:rPr>
                <w:sz w:val="18"/>
              </w:rPr>
              <w:t>If skin irritation occurs, discontinue use and rinse area with water. Seek medical attention if irritation persists.</w:t>
            </w:r>
          </w:p>
        </w:tc>
      </w:tr>
      <w:tr>
        <w:tc>
          <w:tcPr>
            <w:tcW w:type="dxa" w:w="2835"/>
          </w:tcPr>
          <w:p>
            <w:r>
              <w:rPr>
                <w:sz w:val="18"/>
              </w:rPr>
              <w:t>Inhalation</w:t>
            </w:r>
          </w:p>
        </w:tc>
        <w:tc>
          <w:tcPr>
            <w:tcW w:type="dxa" w:w="6803"/>
          </w:tcPr>
          <w:p>
            <w:r>
              <w:rPr>
                <w:sz w:val="18"/>
              </w:rPr>
              <w:t>Not a normal route of exposure. If symptoms develop, move to fresh air.</w:t>
            </w:r>
          </w:p>
        </w:tc>
      </w:tr>
      <w:tr>
        <w:tc>
          <w:tcPr>
            <w:tcW w:type="dxa" w:w="2835"/>
          </w:tcPr>
          <w:p>
            <w:r>
              <w:rPr>
                <w:sz w:val="18"/>
              </w:rPr>
              <w:t>Ingestion</w:t>
            </w:r>
          </w:p>
        </w:tc>
        <w:tc>
          <w:tcPr>
            <w:tcW w:type="dxa" w:w="6803"/>
          </w:tcPr>
          <w:p>
            <w:r>
              <w:rPr>
                <w:sz w:val="18"/>
              </w:rPr>
              <w:t>Do NOT induce vomiting. Rinse mouth with water. Seek medical advice.</w:t>
            </w:r>
          </w:p>
        </w:tc>
      </w:tr>
    </w:tbl>
    <w:p>
      <w:pPr>
        <w:spacing w:before="360" w:after="120"/>
      </w:pPr>
      <w:r>
        <w:rPr>
          <w:b/>
          <w:color w:val="1F3A5F"/>
          <w:sz w:val="32"/>
        </w:rPr>
        <w:t>5. Firefighting Measures</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Suitable Extinguishing Media</w:t>
            </w:r>
          </w:p>
        </w:tc>
        <w:tc>
          <w:tcPr>
            <w:tcW w:type="dxa" w:w="6803"/>
          </w:tcPr>
          <w:p>
            <w:r>
              <w:rPr>
                <w:sz w:val="18"/>
              </w:rPr>
              <w:t>Water spray, foam, dry chemical, carbon dioxide.</w:t>
            </w:r>
          </w:p>
        </w:tc>
      </w:tr>
      <w:tr>
        <w:tc>
          <w:tcPr>
            <w:tcW w:type="dxa" w:w="2835"/>
          </w:tcPr>
          <w:p>
            <w:r>
              <w:rPr>
                <w:sz w:val="18"/>
              </w:rPr>
              <w:t>Specific Hazards</w:t>
            </w:r>
          </w:p>
        </w:tc>
        <w:tc>
          <w:tcPr>
            <w:tcW w:type="dxa" w:w="6803"/>
          </w:tcPr>
          <w:p>
            <w:r>
              <w:rPr>
                <w:sz w:val="18"/>
              </w:rPr>
              <w:t>None known. Product is not flammable under normal conditions.</w:t>
            </w:r>
          </w:p>
        </w:tc>
      </w:tr>
      <w:tr>
        <w:tc>
          <w:tcPr>
            <w:tcW w:type="dxa" w:w="2835"/>
          </w:tcPr>
          <w:p>
            <w:r>
              <w:rPr>
                <w:sz w:val="18"/>
              </w:rPr>
              <w:t>Special PPE</w:t>
            </w:r>
          </w:p>
        </w:tc>
        <w:tc>
          <w:tcPr>
            <w:tcW w:type="dxa" w:w="6803"/>
          </w:tcPr>
          <w:p>
            <w:r>
              <w:rPr>
                <w:sz w:val="18"/>
              </w:rPr>
              <w:t>Standard firefighting equipment.</w:t>
            </w:r>
          </w:p>
        </w:tc>
      </w:tr>
    </w:tbl>
    <w:p>
      <w:pPr>
        <w:spacing w:before="360" w:after="120"/>
      </w:pPr>
      <w:r>
        <w:rPr>
          <w:b/>
          <w:color w:val="1F3A5F"/>
          <w:sz w:val="32"/>
        </w:rPr>
        <w:t>6. Accidental Release Measures</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Personal Precautions</w:t>
            </w:r>
          </w:p>
        </w:tc>
        <w:tc>
          <w:tcPr>
            <w:tcW w:type="dxa" w:w="6803"/>
          </w:tcPr>
          <w:p>
            <w:r>
              <w:rPr>
                <w:sz w:val="18"/>
              </w:rPr>
              <w:t>Avoid contact with skin and eyes. Use protective gloves if handling spills.</w:t>
            </w:r>
          </w:p>
        </w:tc>
      </w:tr>
      <w:tr>
        <w:tc>
          <w:tcPr>
            <w:tcW w:type="dxa" w:w="2835"/>
          </w:tcPr>
          <w:p>
            <w:r>
              <w:rPr>
                <w:sz w:val="18"/>
              </w:rPr>
              <w:t>Environmental Precautions</w:t>
            </w:r>
          </w:p>
        </w:tc>
        <w:tc>
          <w:tcPr>
            <w:tcW w:type="dxa" w:w="6803"/>
          </w:tcPr>
          <w:p>
            <w:r>
              <w:rPr>
                <w:sz w:val="18"/>
              </w:rPr>
              <w:t>Avoid release to drains and waterways.</w:t>
            </w:r>
          </w:p>
        </w:tc>
      </w:tr>
      <w:tr>
        <w:tc>
          <w:tcPr>
            <w:tcW w:type="dxa" w:w="2835"/>
          </w:tcPr>
          <w:p>
            <w:r>
              <w:rPr>
                <w:sz w:val="18"/>
              </w:rPr>
              <w:t>Containment / Cleanup</w:t>
            </w:r>
          </w:p>
        </w:tc>
        <w:tc>
          <w:tcPr>
            <w:tcW w:type="dxa" w:w="6803"/>
          </w:tcPr>
          <w:p>
            <w:r>
              <w:rPr>
                <w:sz w:val="18"/>
              </w:rPr>
              <w:t>Absorb with inert material (e.g. sand, vermiculite). Place in suitable container for disposal.</w:t>
            </w:r>
          </w:p>
        </w:tc>
      </w:tr>
    </w:tbl>
    <w:p>
      <w:pPr>
        <w:spacing w:before="360" w:after="120"/>
      </w:pPr>
      <w:r>
        <w:rPr>
          <w:b/>
          <w:color w:val="1F3A5F"/>
          <w:sz w:val="32"/>
        </w:rPr>
        <w:t>7. Handling and Storage</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Handling</w:t>
            </w:r>
          </w:p>
        </w:tc>
        <w:tc>
          <w:tcPr>
            <w:tcW w:type="dxa" w:w="6803"/>
          </w:tcPr>
          <w:p>
            <w:r>
              <w:rPr>
                <w:sz w:val="18"/>
              </w:rPr>
              <w:t>Use only as directed. Avoid contact with eyes. Wash hands after use.</w:t>
            </w:r>
          </w:p>
        </w:tc>
      </w:tr>
      <w:tr>
        <w:tc>
          <w:tcPr>
            <w:tcW w:type="dxa" w:w="2835"/>
          </w:tcPr>
          <w:p>
            <w:r>
              <w:rPr>
                <w:sz w:val="18"/>
              </w:rPr>
              <w:t>Storage</w:t>
            </w:r>
          </w:p>
        </w:tc>
        <w:tc>
          <w:tcPr>
            <w:tcW w:type="dxa" w:w="6803"/>
          </w:tcPr>
          <w:p>
            <w:r>
              <w:rPr>
                <w:sz w:val="18"/>
              </w:rPr>
              <w:t>Store below 25 °C in a cool, dry place away from direct sunlight. Keep container tightly closed.</w:t>
            </w:r>
          </w:p>
        </w:tc>
      </w:tr>
      <w:tr>
        <w:tc>
          <w:tcPr>
            <w:tcW w:type="dxa" w:w="2835"/>
          </w:tcPr>
          <w:p>
            <w:r>
              <w:rPr>
                <w:sz w:val="18"/>
              </w:rPr>
              <w:t>Incompatibilities</w:t>
            </w:r>
          </w:p>
        </w:tc>
        <w:tc>
          <w:tcPr>
            <w:tcW w:type="dxa" w:w="6803"/>
          </w:tcPr>
          <w:p>
            <w:r>
              <w:rPr>
                <w:sz w:val="18"/>
              </w:rPr>
              <w:t>None known under normal conditions of use.</w:t>
            </w:r>
          </w:p>
        </w:tc>
      </w:tr>
    </w:tbl>
    <w:p>
      <w:pPr>
        <w:spacing w:before="360" w:after="120"/>
      </w:pPr>
      <w:r>
        <w:rPr>
          <w:b/>
          <w:color w:val="1F3A5F"/>
          <w:sz w:val="32"/>
        </w:rPr>
        <w:t>8. Exposure Controls / Personal Protection</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Exposure Limits</w:t>
            </w:r>
          </w:p>
        </w:tc>
        <w:tc>
          <w:tcPr>
            <w:tcW w:type="dxa" w:w="6803"/>
          </w:tcPr>
          <w:p>
            <w:r>
              <w:rPr>
                <w:sz w:val="18"/>
              </w:rPr>
              <w:t>No occupational exposure limits established for this finished cosmetic product.</w:t>
            </w:r>
          </w:p>
        </w:tc>
      </w:tr>
      <w:tr>
        <w:tc>
          <w:tcPr>
            <w:tcW w:type="dxa" w:w="2835"/>
          </w:tcPr>
          <w:p>
            <w:r>
              <w:rPr>
                <w:sz w:val="18"/>
              </w:rPr>
              <w:t>Engineering Controls</w:t>
            </w:r>
          </w:p>
        </w:tc>
        <w:tc>
          <w:tcPr>
            <w:tcW w:type="dxa" w:w="6803"/>
          </w:tcPr>
          <w:p>
            <w:r>
              <w:rPr>
                <w:sz w:val="18"/>
              </w:rPr>
              <w:t>Adequate general ventilation.</w:t>
            </w:r>
          </w:p>
        </w:tc>
      </w:tr>
      <w:tr>
        <w:tc>
          <w:tcPr>
            <w:tcW w:type="dxa" w:w="2835"/>
          </w:tcPr>
          <w:p>
            <w:r>
              <w:rPr>
                <w:sz w:val="18"/>
              </w:rPr>
              <w:t>Personal Protection</w:t>
            </w:r>
          </w:p>
        </w:tc>
        <w:tc>
          <w:tcPr>
            <w:tcW w:type="dxa" w:w="6803"/>
          </w:tcPr>
          <w:p>
            <w:r>
              <w:rPr>
                <w:sz w:val="18"/>
              </w:rPr>
              <w:t>Not normally required for end-user cosmetic application. For bulk handling: gloves, eye protection.</w:t>
            </w:r>
          </w:p>
        </w:tc>
      </w:tr>
    </w:tbl>
    <w:p>
      <w:pPr>
        <w:spacing w:before="360" w:after="120"/>
      </w:pPr>
      <w:r>
        <w:rPr>
          <w:b/>
          <w:color w:val="1F3A5F"/>
          <w:sz w:val="32"/>
        </w:rPr>
        <w:t>9. Physical and Chemical Properties</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Appearance</w:t>
            </w:r>
          </w:p>
        </w:tc>
        <w:tc>
          <w:tcPr>
            <w:tcW w:type="dxa" w:w="6803"/>
          </w:tcPr>
          <w:p>
            <w:r>
              <w:rPr>
                <w:sz w:val="18"/>
              </w:rPr>
              <w:t>Off-white to pale yellow anhydrous balm</w:t>
            </w:r>
          </w:p>
        </w:tc>
      </w:tr>
      <w:tr>
        <w:tc>
          <w:tcPr>
            <w:tcW w:type="dxa" w:w="2835"/>
          </w:tcPr>
          <w:p>
            <w:r>
              <w:rPr>
                <w:sz w:val="18"/>
              </w:rPr>
              <w:t>Odour</w:t>
            </w:r>
          </w:p>
        </w:tc>
        <w:tc>
          <w:tcPr>
            <w:tcW w:type="dxa" w:w="6803"/>
          </w:tcPr>
          <w:p>
            <w:r>
              <w:rPr>
                <w:sz w:val="18"/>
              </w:rPr>
              <w:t>Faint characteristic</w:t>
            </w:r>
          </w:p>
        </w:tc>
      </w:tr>
      <w:tr>
        <w:tc>
          <w:tcPr>
            <w:tcW w:type="dxa" w:w="2835"/>
          </w:tcPr>
          <w:p>
            <w:r>
              <w:rPr>
                <w:sz w:val="18"/>
              </w:rPr>
              <w:t>pH</w:t>
            </w:r>
          </w:p>
        </w:tc>
        <w:tc>
          <w:tcPr>
            <w:tcW w:type="dxa" w:w="6803"/>
          </w:tcPr>
          <w:p>
            <w:r>
              <w:rPr>
                <w:sz w:val="18"/>
              </w:rPr>
              <w:t>N/A (anhydrous)</w:t>
            </w:r>
          </w:p>
        </w:tc>
      </w:tr>
      <w:tr>
        <w:tc>
          <w:tcPr>
            <w:tcW w:type="dxa" w:w="2835"/>
          </w:tcPr>
          <w:p>
            <w:r>
              <w:rPr>
                <w:sz w:val="18"/>
              </w:rPr>
              <w:t>Solubility in water</w:t>
            </w:r>
          </w:p>
        </w:tc>
        <w:tc>
          <w:tcPr>
            <w:tcW w:type="dxa" w:w="6803"/>
          </w:tcPr>
          <w:p>
            <w:r>
              <w:rPr>
                <w:sz w:val="18"/>
              </w:rPr>
              <w:t>Miscible / dispersible</w:t>
            </w:r>
          </w:p>
        </w:tc>
      </w:tr>
      <w:tr>
        <w:tc>
          <w:tcPr>
            <w:tcW w:type="dxa" w:w="2835"/>
          </w:tcPr>
          <w:p>
            <w:r>
              <w:rPr>
                <w:sz w:val="18"/>
              </w:rPr>
              <w:t>Flash point</w:t>
            </w:r>
          </w:p>
        </w:tc>
        <w:tc>
          <w:tcPr>
            <w:tcW w:type="dxa" w:w="6803"/>
          </w:tcPr>
          <w:p>
            <w:r>
              <w:rPr>
                <w:sz w:val="18"/>
              </w:rPr>
              <w:t>Not determined</w:t>
            </w:r>
          </w:p>
        </w:tc>
      </w:tr>
      <w:tr>
        <w:tc>
          <w:tcPr>
            <w:tcW w:type="dxa" w:w="2835"/>
          </w:tcPr>
          <w:p>
            <w:r>
              <w:rPr>
                <w:sz w:val="18"/>
              </w:rPr>
              <w:t>Density</w:t>
            </w:r>
          </w:p>
        </w:tc>
        <w:tc>
          <w:tcPr>
            <w:tcW w:type="dxa" w:w="6803"/>
          </w:tcPr>
          <w:p>
            <w:r>
              <w:rPr>
                <w:sz w:val="18"/>
              </w:rPr>
              <w:t>~1.0 g/mL</w:t>
            </w:r>
          </w:p>
        </w:tc>
      </w:tr>
      <w:tr>
        <w:tc>
          <w:tcPr>
            <w:tcW w:type="dxa" w:w="2835"/>
          </w:tcPr>
          <w:p>
            <w:r>
              <w:rPr>
                <w:sz w:val="18"/>
              </w:rPr>
              <w:t>Flammability</w:t>
            </w:r>
          </w:p>
        </w:tc>
        <w:tc>
          <w:tcPr>
            <w:tcW w:type="dxa" w:w="6803"/>
          </w:tcPr>
          <w:p>
            <w:r>
              <w:rPr>
                <w:sz w:val="18"/>
              </w:rPr>
              <w:t>Not flammable</w:t>
            </w:r>
          </w:p>
        </w:tc>
      </w:tr>
    </w:tbl>
    <w:p>
      <w:pPr>
        <w:spacing w:before="360" w:after="120"/>
      </w:pPr>
      <w:r>
        <w:rPr>
          <w:b/>
          <w:color w:val="1F3A5F"/>
          <w:sz w:val="32"/>
        </w:rPr>
        <w:t>10. Stability and Reactivity</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Reactivity</w:t>
            </w:r>
          </w:p>
        </w:tc>
        <w:tc>
          <w:tcPr>
            <w:tcW w:type="dxa" w:w="6803"/>
          </w:tcPr>
          <w:p>
            <w:r>
              <w:rPr>
                <w:sz w:val="18"/>
              </w:rPr>
              <w:t>Stable under normal conditions of use and storage.</w:t>
            </w:r>
          </w:p>
        </w:tc>
      </w:tr>
      <w:tr>
        <w:tc>
          <w:tcPr>
            <w:tcW w:type="dxa" w:w="2835"/>
          </w:tcPr>
          <w:p>
            <w:r>
              <w:rPr>
                <w:sz w:val="18"/>
              </w:rPr>
              <w:t>Chemical Stability</w:t>
            </w:r>
          </w:p>
        </w:tc>
        <w:tc>
          <w:tcPr>
            <w:tcW w:type="dxa" w:w="6803"/>
          </w:tcPr>
          <w:p>
            <w:r>
              <w:rPr>
                <w:sz w:val="18"/>
              </w:rPr>
              <w:t>Stable.</w:t>
            </w:r>
          </w:p>
        </w:tc>
      </w:tr>
      <w:tr>
        <w:tc>
          <w:tcPr>
            <w:tcW w:type="dxa" w:w="2835"/>
          </w:tcPr>
          <w:p>
            <w:r>
              <w:rPr>
                <w:sz w:val="18"/>
              </w:rPr>
              <w:t>Hazardous Reactions</w:t>
            </w:r>
          </w:p>
        </w:tc>
        <w:tc>
          <w:tcPr>
            <w:tcW w:type="dxa" w:w="6803"/>
          </w:tcPr>
          <w:p>
            <w:r>
              <w:rPr>
                <w:sz w:val="18"/>
              </w:rPr>
              <w:t>None known.</w:t>
            </w:r>
          </w:p>
        </w:tc>
      </w:tr>
      <w:tr>
        <w:tc>
          <w:tcPr>
            <w:tcW w:type="dxa" w:w="2835"/>
          </w:tcPr>
          <w:p>
            <w:r>
              <w:rPr>
                <w:sz w:val="18"/>
              </w:rPr>
              <w:t>Conditions to Avoid</w:t>
            </w:r>
          </w:p>
        </w:tc>
        <w:tc>
          <w:tcPr>
            <w:tcW w:type="dxa" w:w="6803"/>
          </w:tcPr>
          <w:p>
            <w:r>
              <w:rPr>
                <w:sz w:val="18"/>
              </w:rPr>
              <w:t>Excessive heat, direct sunlight, freezing.</w:t>
            </w:r>
          </w:p>
        </w:tc>
      </w:tr>
      <w:tr>
        <w:tc>
          <w:tcPr>
            <w:tcW w:type="dxa" w:w="2835"/>
          </w:tcPr>
          <w:p>
            <w:r>
              <w:rPr>
                <w:sz w:val="18"/>
              </w:rPr>
              <w:t>Incompatible Materials</w:t>
            </w:r>
          </w:p>
        </w:tc>
        <w:tc>
          <w:tcPr>
            <w:tcW w:type="dxa" w:w="6803"/>
          </w:tcPr>
          <w:p>
            <w:r>
              <w:rPr>
                <w:sz w:val="18"/>
              </w:rPr>
              <w:t>Strong oxidising agents.</w:t>
            </w:r>
          </w:p>
        </w:tc>
      </w:tr>
      <w:tr>
        <w:tc>
          <w:tcPr>
            <w:tcW w:type="dxa" w:w="2835"/>
          </w:tcPr>
          <w:p>
            <w:r>
              <w:rPr>
                <w:sz w:val="18"/>
              </w:rPr>
              <w:t>Hazardous Decomposition</w:t>
            </w:r>
          </w:p>
        </w:tc>
        <w:tc>
          <w:tcPr>
            <w:tcW w:type="dxa" w:w="6803"/>
          </w:tcPr>
          <w:p>
            <w:r>
              <w:rPr>
                <w:sz w:val="18"/>
              </w:rPr>
              <w:t>None expected under normal use.</w:t>
            </w:r>
          </w:p>
        </w:tc>
      </w:tr>
    </w:tbl>
    <w:p>
      <w:pPr>
        <w:spacing w:before="360" w:after="120"/>
      </w:pPr>
      <w:r>
        <w:rPr>
          <w:b/>
          <w:color w:val="1F3A5F"/>
          <w:sz w:val="32"/>
        </w:rPr>
        <w:t>11. Toxicological Information</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Acute Toxicity</w:t>
            </w:r>
          </w:p>
        </w:tc>
        <w:tc>
          <w:tcPr>
            <w:tcW w:type="dxa" w:w="6803"/>
          </w:tcPr>
          <w:p>
            <w:r>
              <w:rPr>
                <w:sz w:val="18"/>
              </w:rPr>
              <w:t>Not classified. Finished cosmetic product assessed as safe for intended use under Regulation (EC) No 1223/2009.</w:t>
            </w:r>
          </w:p>
        </w:tc>
      </w:tr>
      <w:tr>
        <w:tc>
          <w:tcPr>
            <w:tcW w:type="dxa" w:w="2835"/>
          </w:tcPr>
          <w:p>
            <w:r>
              <w:rPr>
                <w:sz w:val="18"/>
              </w:rPr>
              <w:t>Skin Irritation</w:t>
            </w:r>
          </w:p>
        </w:tc>
        <w:tc>
          <w:tcPr>
            <w:tcW w:type="dxa" w:w="6803"/>
          </w:tcPr>
          <w:p>
            <w:r>
              <w:rPr>
                <w:sz w:val="18"/>
              </w:rPr>
              <w:t>Not classified. No expected irritation under normal use.</w:t>
            </w:r>
          </w:p>
        </w:tc>
      </w:tr>
      <w:tr>
        <w:tc>
          <w:tcPr>
            <w:tcW w:type="dxa" w:w="2835"/>
          </w:tcPr>
          <w:p>
            <w:r>
              <w:rPr>
                <w:sz w:val="18"/>
              </w:rPr>
              <w:t>Eye Irritation</w:t>
            </w:r>
          </w:p>
        </w:tc>
        <w:tc>
          <w:tcPr>
            <w:tcW w:type="dxa" w:w="6803"/>
          </w:tcPr>
          <w:p>
            <w:r>
              <w:rPr>
                <w:sz w:val="18"/>
              </w:rPr>
              <w:t>May cause mild eye irritation on direct contact.</w:t>
            </w:r>
          </w:p>
        </w:tc>
      </w:tr>
      <w:tr>
        <w:tc>
          <w:tcPr>
            <w:tcW w:type="dxa" w:w="2835"/>
          </w:tcPr>
          <w:p>
            <w:r>
              <w:rPr>
                <w:sz w:val="18"/>
              </w:rPr>
              <w:t>Sensitisation</w:t>
            </w:r>
          </w:p>
        </w:tc>
        <w:tc>
          <w:tcPr>
            <w:tcW w:type="dxa" w:w="6803"/>
          </w:tcPr>
          <w:p>
            <w:r>
              <w:rPr>
                <w:sz w:val="18"/>
              </w:rPr>
              <w:t>Not classified.</w:t>
            </w:r>
          </w:p>
        </w:tc>
      </w:tr>
      <w:tr>
        <w:tc>
          <w:tcPr>
            <w:tcW w:type="dxa" w:w="2835"/>
          </w:tcPr>
          <w:p>
            <w:r>
              <w:rPr>
                <w:sz w:val="18"/>
              </w:rPr>
              <w:t>CMR</w:t>
            </w:r>
          </w:p>
        </w:tc>
        <w:tc>
          <w:tcPr>
            <w:tcW w:type="dxa" w:w="6803"/>
          </w:tcPr>
          <w:p>
            <w:r>
              <w:rPr>
                <w:sz w:val="18"/>
              </w:rPr>
              <w:t>None of the ingredients are classified as CMR (Carcinogen, Mutagen, Reproductive toxin).</w:t>
            </w:r>
          </w:p>
        </w:tc>
      </w:tr>
    </w:tbl>
    <w:p>
      <w:pPr>
        <w:spacing w:before="360" w:after="120"/>
      </w:pPr>
      <w:r>
        <w:rPr>
          <w:b/>
          <w:color w:val="1F3A5F"/>
          <w:sz w:val="32"/>
        </w:rPr>
        <w:t>12. Ecological Information</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Aquatic Toxicity</w:t>
            </w:r>
          </w:p>
        </w:tc>
        <w:tc>
          <w:tcPr>
            <w:tcW w:type="dxa" w:w="6803"/>
          </w:tcPr>
          <w:p>
            <w:r>
              <w:rPr>
                <w:sz w:val="18"/>
              </w:rPr>
              <w:t>Not classified. Ingredients are biodegradable or readily diluted at use levels.</w:t>
            </w:r>
          </w:p>
        </w:tc>
      </w:tr>
      <w:tr>
        <w:tc>
          <w:tcPr>
            <w:tcW w:type="dxa" w:w="2835"/>
          </w:tcPr>
          <w:p>
            <w:r>
              <w:rPr>
                <w:sz w:val="18"/>
              </w:rPr>
              <w:t>Persistence</w:t>
            </w:r>
          </w:p>
        </w:tc>
        <w:tc>
          <w:tcPr>
            <w:tcW w:type="dxa" w:w="6803"/>
          </w:tcPr>
          <w:p>
            <w:r>
              <w:rPr>
                <w:sz w:val="18"/>
              </w:rPr>
              <w:t>Not expected to persist in the environment.</w:t>
            </w:r>
          </w:p>
        </w:tc>
      </w:tr>
      <w:tr>
        <w:tc>
          <w:tcPr>
            <w:tcW w:type="dxa" w:w="2835"/>
          </w:tcPr>
          <w:p>
            <w:r>
              <w:rPr>
                <w:sz w:val="18"/>
              </w:rPr>
              <w:t>Bioaccumulation</w:t>
            </w:r>
          </w:p>
        </w:tc>
        <w:tc>
          <w:tcPr>
            <w:tcW w:type="dxa" w:w="6803"/>
          </w:tcPr>
          <w:p>
            <w:r>
              <w:rPr>
                <w:sz w:val="18"/>
              </w:rPr>
              <w:t>Not expected to bioaccumulate.</w:t>
            </w:r>
          </w:p>
        </w:tc>
      </w:tr>
    </w:tbl>
    <w:p>
      <w:pPr>
        <w:spacing w:before="360" w:after="120"/>
      </w:pPr>
      <w:r>
        <w:rPr>
          <w:b/>
          <w:color w:val="1F3A5F"/>
          <w:sz w:val="32"/>
        </w:rPr>
        <w:t>13. Disposal Considerations</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Waste Disposal</w:t>
            </w:r>
          </w:p>
        </w:tc>
        <w:tc>
          <w:tcPr>
            <w:tcW w:type="dxa" w:w="6803"/>
          </w:tcPr>
          <w:p>
            <w:r>
              <w:rPr>
                <w:sz w:val="18"/>
              </w:rPr>
              <w:t>Dispose of in accordance with local, state and federal regulations. Empty containers may be recycled where facilities exist.</w:t>
            </w:r>
          </w:p>
        </w:tc>
      </w:tr>
    </w:tbl>
    <w:p>
      <w:pPr>
        <w:spacing w:before="360" w:after="120"/>
      </w:pPr>
      <w:r>
        <w:rPr>
          <w:b/>
          <w:color w:val="1F3A5F"/>
          <w:sz w:val="32"/>
        </w:rPr>
        <w:t>14. Transport Information</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UN Number</w:t>
            </w:r>
          </w:p>
        </w:tc>
        <w:tc>
          <w:tcPr>
            <w:tcW w:type="dxa" w:w="6803"/>
          </w:tcPr>
          <w:p>
            <w:r>
              <w:rPr>
                <w:sz w:val="18"/>
              </w:rPr>
              <w:t>Not regulated</w:t>
            </w:r>
          </w:p>
        </w:tc>
      </w:tr>
      <w:tr>
        <w:tc>
          <w:tcPr>
            <w:tcW w:type="dxa" w:w="2835"/>
          </w:tcPr>
          <w:p>
            <w:r>
              <w:rPr>
                <w:sz w:val="18"/>
              </w:rPr>
              <w:t>Proper Shipping Name</w:t>
            </w:r>
          </w:p>
        </w:tc>
        <w:tc>
          <w:tcPr>
            <w:tcW w:type="dxa" w:w="6803"/>
          </w:tcPr>
          <w:p>
            <w:r>
              <w:rPr>
                <w:sz w:val="18"/>
              </w:rPr>
              <w:t>Not regulated</w:t>
            </w:r>
          </w:p>
        </w:tc>
      </w:tr>
      <w:tr>
        <w:tc>
          <w:tcPr>
            <w:tcW w:type="dxa" w:w="2835"/>
          </w:tcPr>
          <w:p>
            <w:r>
              <w:rPr>
                <w:sz w:val="18"/>
              </w:rPr>
              <w:t>Transport Hazard Class</w:t>
            </w:r>
          </w:p>
        </w:tc>
        <w:tc>
          <w:tcPr>
            <w:tcW w:type="dxa" w:w="6803"/>
          </w:tcPr>
          <w:p>
            <w:r>
              <w:rPr>
                <w:sz w:val="18"/>
              </w:rPr>
              <w:t>Not regulated</w:t>
            </w:r>
          </w:p>
        </w:tc>
      </w:tr>
      <w:tr>
        <w:tc>
          <w:tcPr>
            <w:tcW w:type="dxa" w:w="2835"/>
          </w:tcPr>
          <w:p>
            <w:r>
              <w:rPr>
                <w:sz w:val="18"/>
              </w:rPr>
              <w:t>Packing Group</w:t>
            </w:r>
          </w:p>
        </w:tc>
        <w:tc>
          <w:tcPr>
            <w:tcW w:type="dxa" w:w="6803"/>
          </w:tcPr>
          <w:p>
            <w:r>
              <w:rPr>
                <w:sz w:val="18"/>
              </w:rPr>
              <w:t>Not applicable</w:t>
            </w:r>
          </w:p>
        </w:tc>
      </w:tr>
      <w:tr>
        <w:tc>
          <w:tcPr>
            <w:tcW w:type="dxa" w:w="2835"/>
          </w:tcPr>
          <w:p>
            <w:r>
              <w:rPr>
                <w:sz w:val="18"/>
              </w:rPr>
              <w:t>Marine Pollutant</w:t>
            </w:r>
          </w:p>
        </w:tc>
        <w:tc>
          <w:tcPr>
            <w:tcW w:type="dxa" w:w="6803"/>
          </w:tcPr>
          <w:p>
            <w:r>
              <w:rPr>
                <w:sz w:val="18"/>
              </w:rPr>
              <w:t>No</w:t>
            </w:r>
          </w:p>
        </w:tc>
      </w:tr>
    </w:tbl>
    <w:p>
      <w:pPr>
        <w:spacing w:before="360" w:after="120"/>
      </w:pPr>
      <w:r>
        <w:rPr>
          <w:b/>
          <w:color w:val="1F3A5F"/>
          <w:sz w:val="32"/>
        </w:rPr>
        <w:t>15. Regulatory Information</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Australia</w:t>
            </w:r>
          </w:p>
        </w:tc>
        <w:tc>
          <w:tcPr>
            <w:tcW w:type="dxa" w:w="6803"/>
          </w:tcPr>
          <w:p>
            <w:r>
              <w:rPr>
                <w:sz w:val="18"/>
              </w:rPr>
              <w:t>AICIS — all ingredients listed or exempt as cosmetic.</w:t>
            </w:r>
          </w:p>
        </w:tc>
      </w:tr>
      <w:tr>
        <w:tc>
          <w:tcPr>
            <w:tcW w:type="dxa" w:w="2835"/>
          </w:tcPr>
          <w:p>
            <w:r>
              <w:rPr>
                <w:sz w:val="18"/>
              </w:rPr>
              <w:t>EU</w:t>
            </w:r>
          </w:p>
        </w:tc>
        <w:tc>
          <w:tcPr>
            <w:tcW w:type="dxa" w:w="6803"/>
          </w:tcPr>
          <w:p>
            <w:r>
              <w:rPr>
                <w:sz w:val="18"/>
              </w:rPr>
              <w:t>Compliant with Regulation (EC) No 1223/2009 (Cosmetic Products Regulation).</w:t>
            </w:r>
          </w:p>
        </w:tc>
      </w:tr>
      <w:tr>
        <w:tc>
          <w:tcPr>
            <w:tcW w:type="dxa" w:w="2835"/>
          </w:tcPr>
          <w:p>
            <w:r>
              <w:rPr>
                <w:sz w:val="18"/>
              </w:rPr>
              <w:t>USA</w:t>
            </w:r>
          </w:p>
        </w:tc>
        <w:tc>
          <w:tcPr>
            <w:tcW w:type="dxa" w:w="6803"/>
          </w:tcPr>
          <w:p>
            <w:r>
              <w:rPr>
                <w:sz w:val="18"/>
              </w:rPr>
              <w:t>FDA Cosmetic regulations 21 CFR.</w:t>
            </w:r>
          </w:p>
        </w:tc>
      </w:tr>
      <w:tr>
        <w:tc>
          <w:tcPr>
            <w:tcW w:type="dxa" w:w="2835"/>
          </w:tcPr>
          <w:p>
            <w:r>
              <w:rPr>
                <w:sz w:val="18"/>
              </w:rPr>
              <w:t>Hazardous Ingredients (&gt;1%)</w:t>
            </w:r>
          </w:p>
        </w:tc>
        <w:tc>
          <w:tcPr>
            <w:tcW w:type="dxa" w:w="6803"/>
          </w:tcPr>
          <w:p>
            <w:r>
              <w:rPr>
                <w:sz w:val="18"/>
              </w:rPr>
              <w:t>None present above GHS disclosure thresholds.</w:t>
            </w:r>
          </w:p>
        </w:tc>
      </w:tr>
    </w:tbl>
    <w:p>
      <w:pPr>
        <w:spacing w:before="360" w:after="120"/>
      </w:pPr>
      <w:r>
        <w:rPr>
          <w:b/>
          <w:color w:val="1F3A5F"/>
          <w:sz w:val="32"/>
        </w:rPr>
        <w:t>16. Other Information</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Disclaimer</w:t>
            </w:r>
          </w:p>
        </w:tc>
        <w:tc>
          <w:tcPr>
            <w:tcW w:type="dxa" w:w="6803"/>
          </w:tcPr>
          <w:p>
            <w:r>
              <w:rPr>
                <w:sz w:val="18"/>
              </w:rPr>
              <w:t>This SDS has been prepared in good faith based on currently available information. The manufacturer makes no warranty as to the absolute correctness or sufficiency of the information. Users should make their own investigations to determine suitability for their use. This product is a cosmetic and is intended only for the application described in Section 1.</w:t>
            </w:r>
          </w:p>
        </w:tc>
      </w:tr>
      <w:tr>
        <w:tc>
          <w:tcPr>
            <w:tcW w:type="dxa" w:w="2835"/>
          </w:tcPr>
          <w:p>
            <w:r>
              <w:rPr>
                <w:sz w:val="18"/>
              </w:rPr>
              <w:t>Prepared By</w:t>
            </w:r>
          </w:p>
        </w:tc>
        <w:tc>
          <w:tcPr>
            <w:tcW w:type="dxa" w:w="6803"/>
          </w:tcPr>
          <w:p>
            <w:r>
              <w:rPr>
                <w:sz w:val="18"/>
              </w:rPr>
              <w:t>Jonathan Kafritsas, Cellular Cosmetics Pty Ltd</w:t>
            </w:r>
          </w:p>
        </w:tc>
      </w:tr>
      <w:tr>
        <w:tc>
          <w:tcPr>
            <w:tcW w:type="dxa" w:w="2835"/>
          </w:tcPr>
          <w:p>
            <w:r>
              <w:rPr>
                <w:sz w:val="18"/>
              </w:rPr>
              <w:t>Issue Date</w:t>
            </w:r>
          </w:p>
        </w:tc>
        <w:tc>
          <w:tcPr>
            <w:tcW w:type="dxa" w:w="6803"/>
          </w:tcPr>
          <w:p>
            <w:r>
              <w:rPr>
                <w:sz w:val="18"/>
              </w:rPr>
              <w:t>09 April 2026</w:t>
            </w:r>
          </w:p>
        </w:tc>
      </w:tr>
    </w:tbl>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