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ANALYSIS</w:t>
      </w:r>
    </w:p>
    <w:p>
      <w:pPr>
        <w:jc w:val="center"/>
      </w:pPr>
      <w:r>
        <w:rPr>
          <w:rFonts w:ascii="Calibri" w:hAnsi="Calibri"/>
          <w:b w:val="0"/>
          <w:sz w:val="20"/>
        </w:rPr>
        <w:t>Cellular Cosmetics Pty Ltd — ABN 73 668 909 984</w:t>
      </w:r>
    </w:p>
    <w:p>
      <w:pPr>
        <w:jc w:val="center"/>
      </w:pPr>
      <w:r>
        <w:rPr>
          <w:rFonts w:ascii="Calibri" w:hAnsi="Calibri"/>
          <w:b/>
          <w:sz w:val="28"/>
        </w:rPr>
        <w:t>Lip Plumping Balm</w:t>
      </w:r>
    </w:p>
    <w:p>
      <w:pPr>
        <w:pStyle w:val="Heading2"/>
      </w:pPr>
      <w:r>
        <w:t>Product Identification</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Lip Plumping Balm</w:t>
            </w:r>
          </w:p>
        </w:tc>
      </w:tr>
      <w:tr>
        <w:tc>
          <w:tcPr>
            <w:tcW w:type="dxa" w:w="4320"/>
          </w:tcPr>
          <w:p>
            <w:r/>
            <w:r>
              <w:rPr>
                <w:rFonts w:ascii="Calibri" w:hAnsi="Calibri"/>
                <w:b w:val="0"/>
                <w:sz w:val="18"/>
              </w:rPr>
              <w:t>Product Code</w:t>
            </w:r>
          </w:p>
        </w:tc>
        <w:tc>
          <w:tcPr>
            <w:tcW w:type="dxa" w:w="4320"/>
          </w:tcPr>
          <w:p>
            <w:r/>
            <w:r>
              <w:rPr>
                <w:rFonts w:ascii="Calibri" w:hAnsi="Calibri"/>
                <w:b w:val="0"/>
                <w:sz w:val="18"/>
              </w:rPr>
              <w:t>LPB</w:t>
            </w:r>
          </w:p>
        </w:tc>
      </w:tr>
      <w:tr>
        <w:tc>
          <w:tcPr>
            <w:tcW w:type="dxa" w:w="4320"/>
          </w:tcPr>
          <w:p>
            <w:r/>
            <w:r>
              <w:rPr>
                <w:rFonts w:ascii="Calibri" w:hAnsi="Calibri"/>
                <w:b w:val="0"/>
                <w:sz w:val="18"/>
              </w:rPr>
              <w:t>Batch Number</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Manufacture</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Expiry / Best Before</w:t>
            </w:r>
          </w:p>
        </w:tc>
        <w:tc>
          <w:tcPr>
            <w:tcW w:type="dxa" w:w="4320"/>
          </w:tcPr>
          <w:p>
            <w:r/>
            <w:r>
              <w:rPr>
                <w:rFonts w:ascii="Calibri" w:hAnsi="Calibri"/>
                <w:b w:val="0"/>
                <w:sz w:val="18"/>
              </w:rPr>
              <w:t>24 months after manufacture date or 12 months after opening, whichever is sooner</w:t>
            </w:r>
          </w:p>
        </w:tc>
      </w:tr>
      <w:tr>
        <w:tc>
          <w:tcPr>
            <w:tcW w:type="dxa" w:w="4320"/>
          </w:tcPr>
          <w:p>
            <w:r/>
            <w:r>
              <w:rPr>
                <w:rFonts w:ascii="Calibri" w:hAnsi="Calibri"/>
                <w:b w:val="0"/>
                <w:sz w:val="18"/>
              </w:rPr>
              <w:t>Period After Opening (PAO)</w:t>
            </w:r>
          </w:p>
        </w:tc>
        <w:tc>
          <w:tcPr>
            <w:tcW w:type="dxa" w:w="4320"/>
          </w:tcPr>
          <w:p>
            <w:r/>
            <w:r>
              <w:rPr>
                <w:rFonts w:ascii="Calibri" w:hAnsi="Calibri"/>
                <w:b w:val="0"/>
                <w:sz w:val="18"/>
              </w:rPr>
              <w:t>12 months</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bl>
    <w:p>
      <w:r>
        <w:rPr>
          <w:rFonts w:ascii="Calibri" w:hAnsi="Calibri"/>
          <w:b/>
          <w:sz w:val="18"/>
        </w:rPr>
        <w:t>INCI Declaration:</w:t>
      </w:r>
    </w:p>
    <w:p>
      <w:r>
        <w:rPr>
          <w:rFonts w:ascii="Calibri" w:hAnsi="Calibri"/>
          <w:b w:val="0"/>
          <w:sz w:val="18"/>
        </w:rPr>
        <w:t>Caprylic/Capric Triglyceride, Simmondsia Chinensis Seed Oil, Cocos Nucifera Oil, Euphorbia Cerifera Cera, Mentha Arvensis Herb Oil, Tocopherol, Persea Gratissima Oil, Mentha Arvensis Leaf Oil, Capsicum Annuum Resin, Mica, Cinnamomum Zeylanicum Bark Oil, Flavour, Titanium Dioxide, Hydrogenated Polybutene, Benzyl Benzoate, Cinnamal, Cinnamyl Alcohol, Coumarin, Eugenol, Limonene, Linalool, Palmitic Acid, CI 19140, CI 77491</w:t>
      </w:r>
    </w:p>
    <w:p>
      <w:pPr>
        <w:pStyle w:val="Heading2"/>
      </w:pPr>
      <w:r>
        <w:t>Specifications &amp; Test Results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
              <w:rPr>
                <w:rFonts w:ascii="Calibri" w:hAnsi="Calibri"/>
                <w:b/>
                <w:sz w:val="18"/>
              </w:rPr>
              <w:t>Test</w:t>
            </w:r>
          </w:p>
        </w:tc>
        <w:tc>
          <w:tcPr>
            <w:tcW w:type="dxa" w:w="1728"/>
          </w:tcPr>
          <w:p>
            <w:r/>
            <w:r>
              <w:rPr>
                <w:rFonts w:ascii="Calibri" w:hAnsi="Calibri"/>
                <w:b/>
                <w:sz w:val="18"/>
              </w:rPr>
              <w:t>Method</w:t>
            </w:r>
          </w:p>
        </w:tc>
        <w:tc>
          <w:tcPr>
            <w:tcW w:type="dxa" w:w="1728"/>
          </w:tcPr>
          <w:p>
            <w:r/>
            <w:r>
              <w:rPr>
                <w:rFonts w:ascii="Calibri" w:hAnsi="Calibri"/>
                <w:b/>
                <w:sz w:val="18"/>
              </w:rPr>
              <w:t>Specification</w:t>
            </w:r>
          </w:p>
        </w:tc>
        <w:tc>
          <w:tcPr>
            <w:tcW w:type="dxa" w:w="1728"/>
          </w:tcPr>
          <w:p>
            <w:r/>
            <w:r>
              <w:rPr>
                <w:rFonts w:ascii="Calibri" w:hAnsi="Calibri"/>
                <w:b/>
                <w:sz w:val="18"/>
              </w:rPr>
              <w:t>Result</w:t>
            </w:r>
          </w:p>
        </w:tc>
        <w:tc>
          <w:tcPr>
            <w:tcW w:type="dxa" w:w="1728"/>
          </w:tcPr>
          <w:p>
            <w:r/>
            <w:r>
              <w:rPr>
                <w:rFonts w:ascii="Calibri" w:hAnsi="Calibri"/>
                <w:b/>
                <w:sz w:val="18"/>
              </w:rPr>
              <w:t>Pass / Fail</w:t>
            </w:r>
          </w:p>
        </w:tc>
      </w:tr>
      <w:tr>
        <w:tc>
          <w:tcPr>
            <w:tcW w:type="dxa" w:w="1728"/>
          </w:tcPr>
          <w:p>
            <w:r/>
            <w:r>
              <w:rPr>
                <w:rFonts w:ascii="Calibri" w:hAnsi="Calibri"/>
                <w:b w:val="0"/>
                <w:sz w:val="18"/>
              </w:rPr>
              <w:t>Appearance</w:t>
            </w:r>
          </w:p>
        </w:tc>
        <w:tc>
          <w:tcPr>
            <w:tcW w:type="dxa" w:w="1728"/>
          </w:tcPr>
          <w:p>
            <w:r/>
            <w:r>
              <w:rPr>
                <w:rFonts w:ascii="Calibri" w:hAnsi="Calibri"/>
                <w:b w:val="0"/>
                <w:sz w:val="18"/>
              </w:rPr>
              <w:t>Visual</w:t>
            </w:r>
          </w:p>
        </w:tc>
        <w:tc>
          <w:tcPr>
            <w:tcW w:type="dxa" w:w="1728"/>
          </w:tcPr>
          <w:p>
            <w:r/>
            <w:r>
              <w:rPr>
                <w:rFonts w:ascii="Calibri" w:hAnsi="Calibri"/>
                <w:b w:val="0"/>
                <w:sz w:val="18"/>
              </w:rPr>
              <w:t>Translucent / tinted</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Odour</w:t>
            </w:r>
          </w:p>
        </w:tc>
        <w:tc>
          <w:tcPr>
            <w:tcW w:type="dxa" w:w="1728"/>
          </w:tcPr>
          <w:p>
            <w:r/>
            <w:r>
              <w:rPr>
                <w:rFonts w:ascii="Calibri" w:hAnsi="Calibri"/>
                <w:b w:val="0"/>
                <w:sz w:val="18"/>
              </w:rPr>
              <w:t>Olfactory</w:t>
            </w:r>
          </w:p>
        </w:tc>
        <w:tc>
          <w:tcPr>
            <w:tcW w:type="dxa" w:w="1728"/>
          </w:tcPr>
          <w:p>
            <w:r/>
            <w:r>
              <w:rPr>
                <w:rFonts w:ascii="Calibri" w:hAnsi="Calibri"/>
                <w:b w:val="0"/>
                <w:sz w:val="18"/>
              </w:rPr>
              <w:t>Cinnamon / mint</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pH (25 °C)</w:t>
            </w:r>
          </w:p>
        </w:tc>
        <w:tc>
          <w:tcPr>
            <w:tcW w:type="dxa" w:w="1728"/>
          </w:tcPr>
          <w:p>
            <w:r/>
            <w:r>
              <w:rPr>
                <w:rFonts w:ascii="Calibri" w:hAnsi="Calibri"/>
                <w:b w:val="0"/>
                <w:sz w:val="18"/>
              </w:rPr>
              <w:t>Calibrated pH meter</w:t>
            </w:r>
          </w:p>
        </w:tc>
        <w:tc>
          <w:tcPr>
            <w:tcW w:type="dxa" w:w="1728"/>
          </w:tcPr>
          <w:p>
            <w:r/>
            <w:r>
              <w:rPr>
                <w:rFonts w:ascii="Calibri" w:hAnsi="Calibri"/>
                <w:b w:val="0"/>
                <w:sz w:val="18"/>
              </w:rPr>
              <w:t>N/A (anhydrous)</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Viscosity</w:t>
            </w:r>
          </w:p>
        </w:tc>
        <w:tc>
          <w:tcPr>
            <w:tcW w:type="dxa" w:w="1728"/>
          </w:tcPr>
          <w:p>
            <w:r/>
            <w:r>
              <w:rPr>
                <w:rFonts w:ascii="Calibri" w:hAnsi="Calibri"/>
                <w:b w:val="0"/>
                <w:sz w:val="18"/>
              </w:rPr>
              <w:t>Brookfield / visual</w:t>
            </w:r>
          </w:p>
        </w:tc>
        <w:tc>
          <w:tcPr>
            <w:tcW w:type="dxa" w:w="1728"/>
          </w:tcPr>
          <w:p>
            <w:r/>
            <w:r>
              <w:rPr>
                <w:rFonts w:ascii="Calibri" w:hAnsi="Calibri"/>
                <w:b w:val="0"/>
                <w:sz w:val="18"/>
              </w:rPr>
              <w:t>Within standard range</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Specific gravity</w:t>
            </w:r>
          </w:p>
        </w:tc>
        <w:tc>
          <w:tcPr>
            <w:tcW w:type="dxa" w:w="1728"/>
          </w:tcPr>
          <w:p>
            <w:r/>
            <w:r>
              <w:rPr>
                <w:rFonts w:ascii="Calibri" w:hAnsi="Calibri"/>
                <w:b w:val="0"/>
                <w:sz w:val="18"/>
              </w:rPr>
              <w:t>Hydrometer</w:t>
            </w:r>
          </w:p>
        </w:tc>
        <w:tc>
          <w:tcPr>
            <w:tcW w:type="dxa" w:w="1728"/>
          </w:tcPr>
          <w:p>
            <w:r/>
            <w:r>
              <w:rPr>
                <w:rFonts w:ascii="Calibri" w:hAnsi="Calibri"/>
                <w:b w:val="0"/>
                <w:sz w:val="18"/>
              </w:rPr>
              <w:t>0.95 – 1.05 g/mL</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TAMC</w:t>
            </w:r>
          </w:p>
        </w:tc>
        <w:tc>
          <w:tcPr>
            <w:tcW w:type="dxa" w:w="1728"/>
          </w:tcPr>
          <w:p>
            <w:r/>
            <w:r>
              <w:rPr>
                <w:rFonts w:ascii="Calibri" w:hAnsi="Calibri"/>
                <w:b w:val="0"/>
                <w:sz w:val="18"/>
              </w:rPr>
              <w:t>ISO 21149</w:t>
            </w:r>
          </w:p>
        </w:tc>
        <w:tc>
          <w:tcPr>
            <w:tcW w:type="dxa" w:w="1728"/>
          </w:tcPr>
          <w:p>
            <w:r/>
            <w:r>
              <w:rPr>
                <w:rFonts w:ascii="Calibri" w:hAnsi="Calibri"/>
                <w:b w:val="0"/>
                <w:sz w:val="18"/>
              </w:rPr>
              <w:t>≤ 1,000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TYMC</w:t>
            </w:r>
          </w:p>
        </w:tc>
        <w:tc>
          <w:tcPr>
            <w:tcW w:type="dxa" w:w="1728"/>
          </w:tcPr>
          <w:p>
            <w:r/>
            <w:r>
              <w:rPr>
                <w:rFonts w:ascii="Calibri" w:hAnsi="Calibri"/>
                <w:b w:val="0"/>
                <w:sz w:val="18"/>
              </w:rPr>
              <w:t>ISO 16212</w:t>
            </w:r>
          </w:p>
        </w:tc>
        <w:tc>
          <w:tcPr>
            <w:tcW w:type="dxa" w:w="1728"/>
          </w:tcPr>
          <w:p>
            <w:r/>
            <w:r>
              <w:rPr>
                <w:rFonts w:ascii="Calibri" w:hAnsi="Calibri"/>
                <w:b w:val="0"/>
                <w:sz w:val="18"/>
              </w:rPr>
              <w:t>≤ 100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 aureus</w:t>
            </w:r>
          </w:p>
        </w:tc>
        <w:tc>
          <w:tcPr>
            <w:tcW w:type="dxa" w:w="1728"/>
          </w:tcPr>
          <w:p>
            <w:r/>
            <w:r>
              <w:rPr>
                <w:rFonts w:ascii="Calibri" w:hAnsi="Calibri"/>
                <w:b w:val="0"/>
                <w:sz w:val="18"/>
              </w:rPr>
              <w:t>ISO 22718</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 aeruginosa</w:t>
            </w:r>
          </w:p>
        </w:tc>
        <w:tc>
          <w:tcPr>
            <w:tcW w:type="dxa" w:w="1728"/>
          </w:tcPr>
          <w:p>
            <w:r/>
            <w:r>
              <w:rPr>
                <w:rFonts w:ascii="Calibri" w:hAnsi="Calibri"/>
                <w:b w:val="0"/>
                <w:sz w:val="18"/>
              </w:rPr>
              <w:t>ISO 22717</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E. coli</w:t>
            </w:r>
          </w:p>
        </w:tc>
        <w:tc>
          <w:tcPr>
            <w:tcW w:type="dxa" w:w="1728"/>
          </w:tcPr>
          <w:p>
            <w:r/>
            <w:r>
              <w:rPr>
                <w:rFonts w:ascii="Calibri" w:hAnsi="Calibri"/>
                <w:b w:val="0"/>
                <w:sz w:val="18"/>
              </w:rPr>
              <w:t>ISO 21150</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C. albicans</w:t>
            </w:r>
          </w:p>
        </w:tc>
        <w:tc>
          <w:tcPr>
            <w:tcW w:type="dxa" w:w="1728"/>
          </w:tcPr>
          <w:p>
            <w:r/>
            <w:r>
              <w:rPr>
                <w:rFonts w:ascii="Calibri" w:hAnsi="Calibri"/>
                <w:b w:val="0"/>
                <w:sz w:val="18"/>
              </w:rPr>
              <w:t>ISO 18416</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bl>
    <w:p>
      <w:pPr>
        <w:pStyle w:val="Heading2"/>
      </w:pPr>
      <w:r>
        <w:t>Conclusion</w:t>
      </w:r>
    </w:p>
    <w:p>
      <w:r>
        <w:rPr>
          <w:rFonts w:ascii="Calibri" w:hAnsi="Calibri"/>
          <w:b w:val="0"/>
          <w:sz w:val="18"/>
        </w:rPr>
        <w:t>The above batch has been tested against the product specifications and CONFORMS. This product is released for distribution.</w:t>
      </w:r>
    </w:p>
    <w:p>
      <w:pPr>
        <w:pStyle w:val="Heading2"/>
      </w:pPr>
      <w:r>
        <w:t>Authorised Release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QC Officer 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 / Quality Control</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Email</w:t>
            </w:r>
          </w:p>
        </w:tc>
        <w:tc>
          <w:tcPr>
            <w:tcW w:type="dxa" w:w="4320"/>
          </w:tcPr>
          <w:p>
            <w:r/>
            <w:r>
              <w:rPr>
                <w:rFonts w:ascii="Calibri" w:hAnsi="Calibri"/>
                <w:b w:val="0"/>
                <w:sz w:val="18"/>
              </w:rPr>
              <w:t>admin@cellular-cosmetics.com</w:t>
            </w:r>
          </w:p>
        </w:tc>
      </w:tr>
      <w:tr>
        <w:tc>
          <w:tcPr>
            <w:tcW w:type="dxa" w:w="4320"/>
          </w:tcPr>
          <w:p>
            <w:r/>
            <w:r>
              <w:rPr>
                <w:rFonts w:ascii="Calibri" w:hAnsi="Calibri"/>
                <w:b w:val="0"/>
                <w:sz w:val="18"/>
              </w:rPr>
              <w:t>Date of Release</w:t>
            </w:r>
          </w:p>
        </w:tc>
        <w:tc>
          <w:tcPr>
            <w:tcW w:type="dxa" w:w="4320"/>
          </w:tcPr>
          <w:p>
            <w:r/>
            <w:r>
              <w:rPr>
                <w:rFonts w:ascii="Calibri" w:hAnsi="Calibri"/>
                <w:b w:val="0"/>
                <w:sz w:val="18"/>
              </w:rPr>
              <w:t>_____________________</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