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Lime Caviar Serum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SDS-LCS-001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Lime Caviar Serum</w:t>
            </w:r>
          </w:p>
        </w:tc>
      </w:tr>
      <w:tr>
        <w:tc>
          <w:tcPr>
            <w:tcW w:type="dxa" w:w="4320"/>
          </w:tcPr>
          <w:p>
            <w:r/>
            <w:r>
              <w:rPr>
                <w:rFonts w:ascii="Arial" w:hAnsi="Arial"/>
                <w:b w:val="0"/>
                <w:sz w:val="18"/>
              </w:rPr>
              <w:t>Product Code</w:t>
            </w:r>
          </w:p>
        </w:tc>
        <w:tc>
          <w:tcPr>
            <w:tcW w:type="dxa" w:w="4320"/>
          </w:tcPr>
          <w:p>
            <w:r/>
            <w:r>
              <w:rPr>
                <w:rFonts w:ascii="Arial" w:hAnsi="Arial"/>
                <w:b w:val="0"/>
                <w:sz w:val="18"/>
              </w:rPr>
              <w:t>LCS</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serum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Citronellol, Limonene</w:t>
            </w:r>
          </w:p>
        </w:tc>
      </w:tr>
    </w:tbl>
    <w:p/>
    <w:p/>
    <w:p>
      <w:r>
        <w:rPr>
          <w:rFonts w:ascii="Arial" w:hAnsi="Arial"/>
          <w:b w:val="0"/>
          <w:sz w:val="18"/>
        </w:rPr>
        <w:t>Phthalate Declaration: No prohibited phthalates (DEHP, DBP, BBP, DIBP) detected. Diethyl Phthalate (DEP) present at trace level from fragrance — DEP is not prohibited under EU Annex II.</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Light citrus / herbal</w:t>
            </w:r>
          </w:p>
        </w:tc>
      </w:tr>
      <w:tr>
        <w:tc>
          <w:tcPr>
            <w:tcW w:type="dxa" w:w="4320"/>
          </w:tcPr>
          <w:p>
            <w:r/>
            <w:r>
              <w:rPr>
                <w:rFonts w:ascii="Arial" w:hAnsi="Arial"/>
                <w:b w:val="0"/>
                <w:sz w:val="18"/>
              </w:rPr>
              <w:t>pH</w:t>
            </w:r>
          </w:p>
        </w:tc>
        <w:tc>
          <w:tcPr>
            <w:tcW w:type="dxa" w:w="4320"/>
          </w:tcPr>
          <w:p>
            <w:r/>
            <w:r>
              <w:rPr>
                <w:rFonts w:ascii="Arial" w:hAnsi="Arial"/>
                <w:b w:val="0"/>
                <w:sz w:val="18"/>
              </w:rPr>
              <w:t>5.0 – 6.5</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(Citronellol, Limonene).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