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Fruit Enzyme Sheet Mask</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SDS-FS-001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Fruit Enzyme Sheet Mask</w:t>
            </w:r>
          </w:p>
        </w:tc>
      </w:tr>
      <w:tr>
        <w:tc>
          <w:tcPr>
            <w:tcW w:type="dxa" w:w="4320"/>
          </w:tcPr>
          <w:p>
            <w:r/>
            <w:r>
              <w:rPr>
                <w:rFonts w:ascii="Arial" w:hAnsi="Arial"/>
                <w:b w:val="0"/>
                <w:sz w:val="18"/>
              </w:rPr>
              <w:t>Product Code</w:t>
            </w:r>
          </w:p>
        </w:tc>
        <w:tc>
          <w:tcPr>
            <w:tcW w:type="dxa" w:w="4320"/>
          </w:tcPr>
          <w:p>
            <w:r/>
            <w:r>
              <w:rPr>
                <w:rFonts w:ascii="Arial" w:hAnsi="Arial"/>
                <w:b w:val="0"/>
                <w:sz w:val="18"/>
              </w:rPr>
              <w:t>FS</w:t>
            </w:r>
          </w:p>
        </w:tc>
      </w:tr>
      <w:tr>
        <w:tc>
          <w:tcPr>
            <w:tcW w:type="dxa" w:w="4320"/>
          </w:tcPr>
          <w:p>
            <w:r/>
            <w:r>
              <w:rPr>
                <w:rFonts w:ascii="Arial" w:hAnsi="Arial"/>
                <w:b w:val="0"/>
                <w:sz w:val="18"/>
              </w:rPr>
              <w:t>Recommended Use</w:t>
            </w:r>
          </w:p>
        </w:tc>
        <w:tc>
          <w:tcPr>
            <w:tcW w:type="dxa" w:w="4320"/>
          </w:tcPr>
          <w:p>
            <w:r/>
            <w:r>
              <w:rPr>
                <w:rFonts w:ascii="Arial" w:hAnsi="Arial"/>
                <w:b w:val="0"/>
                <w:sz w:val="18"/>
              </w:rPr>
              <w:t>Leave-on facial mask</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Aqua (Water), Vaccinium Myrtillus Fruit Extract, Saccharum Officinarum Extract, Citrus Aurantium Dulcis Fruit Extract, Citrus Limon Fruit Extract, Acer Saccharum Sap Extract, Ananas Sativus Fruit Extract, Glycerin, Sodium Hyaluronate, Aloe Barbadensis Leaf Juice, Papaya Fruit Ferment Extract, Rubus Idaeus Fruit Extract, Actinidia Chinensis Fruit Extract, Cucumis Sativus (Cucumber), Carbomer, Triethanolamine, Diethanolamine, Tocopherol, Phenoxyethanol, Ethylhexylglycerin</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None</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Aqua (Water)</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Vaccinium Myrtillus Fruit Extract</w:t>
            </w:r>
          </w:p>
        </w:tc>
        <w:tc>
          <w:tcPr>
            <w:tcW w:type="dxa" w:w="1728"/>
          </w:tcPr>
          <w:p>
            <w:r/>
            <w:r>
              <w:rPr>
                <w:rFonts w:ascii="Arial" w:hAnsi="Arial"/>
                <w:b w:val="0"/>
                <w:sz w:val="18"/>
              </w:rPr>
              <w:t>Exfoliant / Antioxidant</w:t>
            </w:r>
          </w:p>
        </w:tc>
        <w:tc>
          <w:tcPr>
            <w:tcW w:type="dxa" w:w="1728"/>
          </w:tcPr>
          <w:p>
            <w:r/>
            <w:r>
              <w:rPr>
                <w:rFonts w:ascii="Arial" w:hAnsi="Arial"/>
                <w:b w:val="0"/>
                <w:sz w:val="18"/>
              </w:rPr>
              <w:t>91107-72-3</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Saccharum Officinarum Extract</w:t>
            </w:r>
          </w:p>
        </w:tc>
        <w:tc>
          <w:tcPr>
            <w:tcW w:type="dxa" w:w="1728"/>
          </w:tcPr>
          <w:p>
            <w:r/>
            <w:r>
              <w:rPr>
                <w:rFonts w:ascii="Arial" w:hAnsi="Arial"/>
                <w:b w:val="0"/>
                <w:sz w:val="18"/>
              </w:rPr>
              <w:t>Exfoliant</w:t>
            </w:r>
          </w:p>
        </w:tc>
        <w:tc>
          <w:tcPr>
            <w:tcW w:type="dxa" w:w="1728"/>
          </w:tcPr>
          <w:p>
            <w:r/>
            <w:r>
              <w:rPr>
                <w:rFonts w:ascii="Arial" w:hAnsi="Arial"/>
                <w:b w:val="0"/>
                <w:sz w:val="18"/>
              </w:rPr>
              <w:t>85089-07-6</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Citrus Aurantium Dulcis Fruit Extract</w:t>
            </w:r>
          </w:p>
        </w:tc>
        <w:tc>
          <w:tcPr>
            <w:tcW w:type="dxa" w:w="1728"/>
          </w:tcPr>
          <w:p>
            <w:r/>
            <w:r>
              <w:rPr>
                <w:rFonts w:ascii="Arial" w:hAnsi="Arial"/>
                <w:b w:val="0"/>
                <w:sz w:val="18"/>
              </w:rPr>
              <w:t>Exfoliant</w:t>
            </w:r>
          </w:p>
        </w:tc>
        <w:tc>
          <w:tcPr>
            <w:tcW w:type="dxa" w:w="1728"/>
          </w:tcPr>
          <w:p>
            <w:r/>
            <w:r>
              <w:rPr>
                <w:rFonts w:ascii="Arial" w:hAnsi="Arial"/>
                <w:b w:val="0"/>
                <w:sz w:val="18"/>
              </w:rPr>
              <w:t>84012-24-8</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Citrus Limon Fruit Extract</w:t>
            </w:r>
          </w:p>
        </w:tc>
        <w:tc>
          <w:tcPr>
            <w:tcW w:type="dxa" w:w="1728"/>
          </w:tcPr>
          <w:p>
            <w:r/>
            <w:r>
              <w:rPr>
                <w:rFonts w:ascii="Arial" w:hAnsi="Arial"/>
                <w:b w:val="0"/>
                <w:sz w:val="18"/>
              </w:rPr>
              <w:t>Exfoliant</w:t>
            </w:r>
          </w:p>
        </w:tc>
        <w:tc>
          <w:tcPr>
            <w:tcW w:type="dxa" w:w="1728"/>
          </w:tcPr>
          <w:p>
            <w:r/>
            <w:r>
              <w:rPr>
                <w:rFonts w:ascii="Arial" w:hAnsi="Arial"/>
                <w:b w:val="0"/>
                <w:sz w:val="18"/>
              </w:rPr>
              <w:t>84929-31-7</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Acer Saccharum Sap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Ananas Sativus Fruit Extract</w:t>
            </w:r>
          </w:p>
        </w:tc>
        <w:tc>
          <w:tcPr>
            <w:tcW w:type="dxa" w:w="1728"/>
          </w:tcPr>
          <w:p>
            <w:r/>
            <w:r>
              <w:rPr>
                <w:rFonts w:ascii="Arial" w:hAnsi="Arial"/>
                <w:b w:val="0"/>
                <w:sz w:val="18"/>
              </w:rPr>
              <w:t>Exfoliant / Skin-conditioning</w:t>
            </w:r>
          </w:p>
        </w:tc>
        <w:tc>
          <w:tcPr>
            <w:tcW w:type="dxa" w:w="1728"/>
          </w:tcPr>
          <w:p>
            <w:r/>
            <w:r>
              <w:rPr>
                <w:rFonts w:ascii="Arial" w:hAnsi="Arial"/>
                <w:b w:val="0"/>
                <w:sz w:val="18"/>
              </w:rPr>
              <w:t>68917-41-5</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Sodium Hyaluronate</w:t>
            </w:r>
          </w:p>
        </w:tc>
        <w:tc>
          <w:tcPr>
            <w:tcW w:type="dxa" w:w="1728"/>
          </w:tcPr>
          <w:p>
            <w:r/>
            <w:r>
              <w:rPr>
                <w:rFonts w:ascii="Arial" w:hAnsi="Arial"/>
                <w:b w:val="0"/>
                <w:sz w:val="18"/>
              </w:rPr>
              <w:t>Humectant</w:t>
            </w:r>
          </w:p>
        </w:tc>
        <w:tc>
          <w:tcPr>
            <w:tcW w:type="dxa" w:w="1728"/>
          </w:tcPr>
          <w:p>
            <w:r/>
            <w:r>
              <w:rPr>
                <w:rFonts w:ascii="Arial" w:hAnsi="Arial"/>
                <w:b w:val="0"/>
                <w:sz w:val="18"/>
              </w:rPr>
              <w:t>9067-32-7</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Aloe Barbadensis Leaf Juice</w:t>
            </w:r>
          </w:p>
        </w:tc>
        <w:tc>
          <w:tcPr>
            <w:tcW w:type="dxa" w:w="1728"/>
          </w:tcPr>
          <w:p>
            <w:r/>
            <w:r>
              <w:rPr>
                <w:rFonts w:ascii="Arial" w:hAnsi="Arial"/>
                <w:b w:val="0"/>
                <w:sz w:val="18"/>
              </w:rPr>
              <w:t>Skin-conditioning</w:t>
            </w:r>
          </w:p>
        </w:tc>
        <w:tc>
          <w:tcPr>
            <w:tcW w:type="dxa" w:w="1728"/>
          </w:tcPr>
          <w:p>
            <w:r/>
            <w:r>
              <w:rPr>
                <w:rFonts w:ascii="Arial" w:hAnsi="Arial"/>
                <w:b w:val="0"/>
                <w:sz w:val="18"/>
              </w:rPr>
              <w:t>85507-69-3</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Papaya Fruit Ferment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Rubus Idaeus Fruit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Actinidia Chinensis Fruit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Cucumis Sativus (Cucumber)</w:t>
            </w:r>
          </w:p>
        </w:tc>
        <w:tc>
          <w:tcPr>
            <w:tcW w:type="dxa" w:w="1728"/>
          </w:tcPr>
          <w:p>
            <w:r/>
            <w:r>
              <w:rPr>
                <w:rFonts w:ascii="Arial" w:hAnsi="Arial"/>
                <w:b w:val="0"/>
                <w:sz w:val="18"/>
              </w:rPr>
              <w:t>Skin-conditioning</w:t>
            </w:r>
          </w:p>
        </w:tc>
        <w:tc>
          <w:tcPr>
            <w:tcW w:type="dxa" w:w="1728"/>
          </w:tcPr>
          <w:p>
            <w:r/>
            <w:r>
              <w:rPr>
                <w:rFonts w:ascii="Arial" w:hAnsi="Arial"/>
                <w:b w:val="0"/>
                <w:sz w:val="18"/>
              </w:rPr>
              <w:t>89998-01-6</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Carbomer</w:t>
            </w:r>
          </w:p>
        </w:tc>
        <w:tc>
          <w:tcPr>
            <w:tcW w:type="dxa" w:w="1728"/>
          </w:tcPr>
          <w:p>
            <w:r/>
            <w:r>
              <w:rPr>
                <w:rFonts w:ascii="Arial" w:hAnsi="Arial"/>
                <w:b w:val="0"/>
                <w:sz w:val="18"/>
              </w:rPr>
              <w:t>Viscosity modifier</w:t>
            </w:r>
          </w:p>
        </w:tc>
        <w:tc>
          <w:tcPr>
            <w:tcW w:type="dxa" w:w="1728"/>
          </w:tcPr>
          <w:p>
            <w:r/>
            <w:r>
              <w:rPr>
                <w:rFonts w:ascii="Arial" w:hAnsi="Arial"/>
                <w:b w:val="0"/>
                <w:sz w:val="18"/>
              </w:rPr>
              <w:t>9003-01-4</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Triethanolamine</w:t>
            </w:r>
          </w:p>
        </w:tc>
        <w:tc>
          <w:tcPr>
            <w:tcW w:type="dxa" w:w="1728"/>
          </w:tcPr>
          <w:p>
            <w:r/>
            <w:r>
              <w:rPr>
                <w:rFonts w:ascii="Arial" w:hAnsi="Arial"/>
                <w:b w:val="0"/>
                <w:sz w:val="18"/>
              </w:rPr>
              <w:t>pH adjuster</w:t>
            </w:r>
          </w:p>
        </w:tc>
        <w:tc>
          <w:tcPr>
            <w:tcW w:type="dxa" w:w="1728"/>
          </w:tcPr>
          <w:p>
            <w:r/>
            <w:r>
              <w:rPr>
                <w:rFonts w:ascii="Arial" w:hAnsi="Arial"/>
                <w:b w:val="0"/>
                <w:sz w:val="18"/>
              </w:rPr>
              <w:t>102-71-6</w:t>
            </w:r>
          </w:p>
        </w:tc>
        <w:tc>
          <w:tcPr>
            <w:tcW w:type="dxa" w:w="1728"/>
          </w:tcPr>
          <w:p>
            <w:r/>
            <w:r>
              <w:rPr>
                <w:rFonts w:ascii="Arial" w:hAnsi="Arial"/>
                <w:b w:val="0"/>
                <w:sz w:val="18"/>
              </w:rPr>
              <w:t>Proprietary</w:t>
            </w:r>
          </w:p>
        </w:tc>
      </w:tr>
      <w:tr>
        <w:tc>
          <w:tcPr>
            <w:tcW w:type="dxa" w:w="1728"/>
          </w:tcPr>
          <w:p>
            <w:r/>
            <w:r>
              <w:rPr>
                <w:rFonts w:ascii="Arial" w:hAnsi="Arial"/>
                <w:b w:val="0"/>
                <w:sz w:val="18"/>
              </w:rPr>
              <w:t>17</w:t>
            </w:r>
          </w:p>
        </w:tc>
        <w:tc>
          <w:tcPr>
            <w:tcW w:type="dxa" w:w="1728"/>
          </w:tcPr>
          <w:p>
            <w:r/>
            <w:r>
              <w:rPr>
                <w:rFonts w:ascii="Arial" w:hAnsi="Arial"/>
                <w:b w:val="0"/>
                <w:sz w:val="18"/>
              </w:rPr>
              <w:t>Diethanolamine</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18</w:t>
            </w:r>
          </w:p>
        </w:tc>
        <w:tc>
          <w:tcPr>
            <w:tcW w:type="dxa" w:w="1728"/>
          </w:tcPr>
          <w:p>
            <w:r/>
            <w:r>
              <w:rPr>
                <w:rFonts w:ascii="Arial" w:hAnsi="Arial"/>
                <w:b w:val="0"/>
                <w:sz w:val="18"/>
              </w:rPr>
              <w:t>Tocopherol</w:t>
            </w:r>
          </w:p>
        </w:tc>
        <w:tc>
          <w:tcPr>
            <w:tcW w:type="dxa" w:w="1728"/>
          </w:tcPr>
          <w:p>
            <w:r/>
            <w:r>
              <w:rPr>
                <w:rFonts w:ascii="Arial" w:hAnsi="Arial"/>
                <w:b w:val="0"/>
                <w:sz w:val="18"/>
              </w:rPr>
              <w:t>Antioxidant</w:t>
            </w:r>
          </w:p>
        </w:tc>
        <w:tc>
          <w:tcPr>
            <w:tcW w:type="dxa" w:w="1728"/>
          </w:tcPr>
          <w:p>
            <w:r/>
            <w:r>
              <w:rPr>
                <w:rFonts w:ascii="Arial" w:hAnsi="Arial"/>
                <w:b w:val="0"/>
                <w:sz w:val="18"/>
              </w:rPr>
              <w:t>59-02-9</w:t>
            </w:r>
          </w:p>
        </w:tc>
        <w:tc>
          <w:tcPr>
            <w:tcW w:type="dxa" w:w="1728"/>
          </w:tcPr>
          <w:p>
            <w:r/>
            <w:r>
              <w:rPr>
                <w:rFonts w:ascii="Arial" w:hAnsi="Arial"/>
                <w:b w:val="0"/>
                <w:sz w:val="18"/>
              </w:rPr>
              <w:t>Proprietary</w:t>
            </w:r>
          </w:p>
        </w:tc>
      </w:tr>
      <w:tr>
        <w:tc>
          <w:tcPr>
            <w:tcW w:type="dxa" w:w="1728"/>
          </w:tcPr>
          <w:p>
            <w:r/>
            <w:r>
              <w:rPr>
                <w:rFonts w:ascii="Arial" w:hAnsi="Arial"/>
                <w:b w:val="0"/>
                <w:sz w:val="18"/>
              </w:rPr>
              <w:t>19</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
              <w:rPr>
                <w:rFonts w:ascii="Arial" w:hAnsi="Arial"/>
                <w:b w:val="0"/>
                <w:sz w:val="18"/>
              </w:rPr>
              <w:t>20</w:t>
            </w:r>
          </w:p>
        </w:tc>
        <w:tc>
          <w:tcPr>
            <w:tcW w:type="dxa" w:w="1728"/>
          </w:tcPr>
          <w:p>
            <w:r/>
            <w:r>
              <w:rPr>
                <w:rFonts w:ascii="Arial" w:hAnsi="Arial"/>
                <w:b w:val="0"/>
                <w:sz w:val="18"/>
              </w:rPr>
              <w:t>Ethylhexylglycerin</w:t>
            </w:r>
          </w:p>
        </w:tc>
        <w:tc>
          <w:tcPr>
            <w:tcW w:type="dxa" w:w="1728"/>
          </w:tcPr>
          <w:p>
            <w:r/>
            <w:r>
              <w:rPr>
                <w:rFonts w:ascii="Arial" w:hAnsi="Arial"/>
                <w:b w:val="0"/>
                <w:sz w:val="18"/>
              </w:rPr>
              <w:t>Preservative booster</w:t>
            </w:r>
          </w:p>
        </w:tc>
        <w:tc>
          <w:tcPr>
            <w:tcW w:type="dxa" w:w="1728"/>
          </w:tcPr>
          <w:p>
            <w:r/>
            <w:r>
              <w:rPr>
                <w:rFonts w:ascii="Arial" w:hAnsi="Arial"/>
                <w:b w:val="0"/>
                <w:sz w:val="18"/>
              </w:rPr>
              <w:t>70445-33-9</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Paste / cream</w:t>
            </w:r>
          </w:p>
        </w:tc>
      </w:tr>
      <w:tr>
        <w:tc>
          <w:tcPr>
            <w:tcW w:type="dxa" w:w="4320"/>
          </w:tcPr>
          <w:p>
            <w:r/>
            <w:r>
              <w:rPr>
                <w:rFonts w:ascii="Arial" w:hAnsi="Arial"/>
                <w:b w:val="0"/>
                <w:sz w:val="18"/>
              </w:rPr>
              <w:t>Odour</w:t>
            </w:r>
          </w:p>
        </w:tc>
        <w:tc>
          <w:tcPr>
            <w:tcW w:type="dxa" w:w="4320"/>
          </w:tcPr>
          <w:p>
            <w:r/>
            <w:r>
              <w:rPr>
                <w:rFonts w:ascii="Arial" w:hAnsi="Arial"/>
                <w:b w:val="0"/>
                <w:sz w:val="18"/>
              </w:rPr>
              <w:t>Characteristic / mild</w:t>
            </w:r>
          </w:p>
        </w:tc>
      </w:tr>
      <w:tr>
        <w:tc>
          <w:tcPr>
            <w:tcW w:type="dxa" w:w="4320"/>
          </w:tcPr>
          <w:p>
            <w:r/>
            <w:r>
              <w:rPr>
                <w:rFonts w:ascii="Arial" w:hAnsi="Arial"/>
                <w:b w:val="0"/>
                <w:sz w:val="18"/>
              </w:rPr>
              <w:t>pH</w:t>
            </w:r>
          </w:p>
        </w:tc>
        <w:tc>
          <w:tcPr>
            <w:tcW w:type="dxa" w:w="4320"/>
          </w:tcPr>
          <w:p>
            <w:r/>
            <w:r>
              <w:rPr>
                <w:rFonts w:ascii="Arial" w:hAnsi="Arial"/>
                <w:b w:val="0"/>
                <w:sz w:val="18"/>
              </w:rPr>
              <w:t>5.0 – 6.5</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