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Fruit Enzyme Exfoliating Cleanser</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Fruit Enzyme Exfoliating Cleanser</w:t>
            </w:r>
          </w:p>
        </w:tc>
      </w:tr>
      <w:tr>
        <w:tc>
          <w:tcPr>
            <w:tcW w:type="dxa" w:w="4320"/>
          </w:tcPr>
          <w:p>
            <w:r/>
            <w:r>
              <w:rPr>
                <w:rFonts w:ascii="Calibri" w:hAnsi="Calibri"/>
                <w:b w:val="0"/>
                <w:sz w:val="18"/>
              </w:rPr>
              <w:t>Product Code</w:t>
            </w:r>
          </w:p>
        </w:tc>
        <w:tc>
          <w:tcPr>
            <w:tcW w:type="dxa" w:w="4320"/>
          </w:tcPr>
          <w:p>
            <w:r/>
            <w:r>
              <w:rPr>
                <w:rFonts w:ascii="Calibri" w:hAnsi="Calibri"/>
                <w:b w:val="0"/>
                <w:sz w:val="18"/>
              </w:rPr>
              <w:t>FEC</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(Water), Cocamidopropyl Betaine, Glycerin, Ammonium Lauryl Sulfate, Vaccinium Myrtillus Fruit Extract, Saccharum Officinarum Extract, Citrus Aurantium Dulcis Fruit Extract, Citrus Limon Fruit Extract, Acer Saccharum Sap Extract, Ananas Sativus Fruit Extract,, Ananas Sativus (Pineapple) Fruit Extract, Carica Papaya (Papaya) Fruit Extract, PEG-120 Methyl Glucose Dioleate, Xanthan Gum, Phenoxyethanol, Ethylhexylglycerin, Citrus Aurantium Dulcis (Orange) Peel Oil, Backhousia Citriodora (Lemon Myrtle) Leaf Oil, Parfum, Citrus Sinensis (Orange) Oil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slightly opaque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Fruity citrus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4.0 – 6.0</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