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Cucumber Anti-Age Eye Gel</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SDS-CUCAAGEL-001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Cucumber Anti-Age Eye Gel</w:t>
            </w:r>
          </w:p>
        </w:tc>
      </w:tr>
      <w:tr>
        <w:tc>
          <w:tcPr>
            <w:tcW w:type="dxa" w:w="2835"/>
          </w:tcPr>
          <w:p>
            <w:r>
              <w:rPr>
                <w:sz w:val="18"/>
              </w:rPr>
              <w:t>Product Code</w:t>
            </w:r>
          </w:p>
        </w:tc>
        <w:tc>
          <w:tcPr>
            <w:tcW w:type="dxa" w:w="6803"/>
          </w:tcPr>
          <w:p>
            <w:r>
              <w:rPr>
                <w:sz w:val="18"/>
              </w:rPr>
              <w:t>CUCAAGEL</w:t>
            </w:r>
          </w:p>
        </w:tc>
      </w:tr>
      <w:tr>
        <w:tc>
          <w:tcPr>
            <w:tcW w:type="dxa" w:w="2835"/>
          </w:tcPr>
          <w:p>
            <w:r>
              <w:rPr>
                <w:sz w:val="18"/>
              </w:rPr>
              <w:t>Recommended Use</w:t>
            </w:r>
          </w:p>
        </w:tc>
        <w:tc>
          <w:tcPr>
            <w:tcW w:type="dxa" w:w="6803"/>
          </w:tcPr>
          <w:p>
            <w:r>
              <w:rPr>
                <w:sz w:val="18"/>
              </w:rPr>
              <w:t>Leave-on facial or body gel</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Clear to pale gel</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5.0 – 6.5</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applicable (water-based)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