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Copper Peptide (GHK-Cu) Cream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5 November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SDS-GHKC-001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Copper Peptide (GHK-Cu) Cream</w:t>
            </w:r>
          </w:p>
        </w:tc>
      </w:tr>
      <w:tr>
        <w:tc>
          <w:tcPr>
            <w:tcW w:type="dxa" w:w="4320"/>
          </w:tcPr>
          <w:p>
            <w:r/>
            <w:r>
              <w:rPr>
                <w:rFonts w:ascii="Arial" w:hAnsi="Arial"/>
                <w:b w:val="0"/>
                <w:sz w:val="18"/>
              </w:rPr>
              <w:t>Product Code</w:t>
            </w:r>
          </w:p>
        </w:tc>
        <w:tc>
          <w:tcPr>
            <w:tcW w:type="dxa" w:w="4320"/>
          </w:tcPr>
          <w:p>
            <w:r/>
            <w:r>
              <w:rPr>
                <w:rFonts w:ascii="Arial" w:hAnsi="Arial"/>
                <w:b w:val="0"/>
                <w:sz w:val="18"/>
              </w:rPr>
              <w:t>GHKC</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moisturiser</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Industries Pty Ltd t/a Cellular Cosmetics</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 (unfragranced)</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(copper peptide is light-sensitive).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Opaque blue cream</w:t>
            </w:r>
          </w:p>
        </w:tc>
      </w:tr>
      <w:tr>
        <w:tc>
          <w:tcPr>
            <w:tcW w:type="dxa" w:w="4320"/>
          </w:tcPr>
          <w:p>
            <w:r/>
            <w:r>
              <w:rPr>
                <w:rFonts w:ascii="Arial" w:hAnsi="Arial"/>
                <w:b w:val="0"/>
                <w:sz w:val="18"/>
              </w:rPr>
              <w:t>Odour</w:t>
            </w:r>
          </w:p>
        </w:tc>
        <w:tc>
          <w:tcPr>
            <w:tcW w:type="dxa" w:w="4320"/>
          </w:tcPr>
          <w:p>
            <w:r/>
            <w:r>
              <w:rPr>
                <w:rFonts w:ascii="Arial" w:hAnsi="Arial"/>
                <w:b w:val="0"/>
                <w:sz w:val="18"/>
              </w:rPr>
              <w:t>Characteristic, unfragranced</w:t>
            </w:r>
          </w:p>
        </w:tc>
      </w:tr>
      <w:tr>
        <w:tc>
          <w:tcPr>
            <w:tcW w:type="dxa" w:w="4320"/>
          </w:tcPr>
          <w:p>
            <w:r/>
            <w:r>
              <w:rPr>
                <w:rFonts w:ascii="Arial" w:hAnsi="Arial"/>
                <w:b w:val="0"/>
                <w:sz w:val="18"/>
              </w:rPr>
              <w:t>pH</w:t>
            </w:r>
          </w:p>
        </w:tc>
        <w:tc>
          <w:tcPr>
            <w:tcW w:type="dxa" w:w="4320"/>
          </w:tcPr>
          <w:p>
            <w:r/>
            <w:r>
              <w:rPr>
                <w:rFonts w:ascii="Arial" w:hAnsi="Arial"/>
                <w:b w:val="0"/>
                <w:sz w:val="18"/>
              </w:rPr>
              <w:t>6.0 – 6.2</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expected to be sensitising. Contains no fragrance or fragrance allergens.</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Unfragranced; no fragrance allergens to declare.</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Industries Pty Ltd t/a Cellular Cosmetics</w:t>
            </w:r>
          </w:p>
        </w:tc>
      </w:tr>
      <w:tr>
        <w:tc>
          <w:tcPr>
            <w:tcW w:type="dxa" w:w="4320"/>
          </w:tcPr>
          <w:p>
            <w:r/>
            <w:r>
              <w:rPr>
                <w:rFonts w:ascii="Arial" w:hAnsi="Arial"/>
                <w:b w:val="0"/>
                <w:sz w:val="18"/>
              </w:rPr>
              <w:t>Issue Date</w:t>
            </w:r>
          </w:p>
        </w:tc>
        <w:tc>
          <w:tcPr>
            <w:tcW w:type="dxa" w:w="4320"/>
          </w:tcPr>
          <w:p>
            <w:r/>
            <w:r>
              <w:rPr>
                <w:rFonts w:ascii="Arial" w:hAnsi="Arial"/>
                <w:b w:val="0"/>
                <w:sz w:val="18"/>
              </w:rPr>
              <w:t>5 November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