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Collagen + B12 Serum (Vegan)</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Pr>
                <w:rFonts w:ascii="Arial" w:hAnsi="Arial"/>
                <w:b w:val="0"/>
                <w:sz w:val="18"/>
              </w:rPr>
              <w:t>1.2</w:t>
            </w:r>
          </w:p>
        </w:tc>
      </w:tr>
      <w:tr>
        <w:tc>
          <w:tcPr>
            <w:tcW w:type="dxa" w:w="4320"/>
          </w:tcPr>
          <w:p>
            <w:r/>
            <w:r>
              <w:rPr>
                <w:rFonts w:ascii="Arial" w:hAnsi="Arial"/>
                <w:b w:val="0"/>
                <w:sz w:val="18"/>
              </w:rPr>
              <w:t>SDS Number</w:t>
            </w:r>
          </w:p>
        </w:tc>
        <w:tc>
          <w:tcPr>
            <w:tcW w:type="dxa" w:w="4320"/>
          </w:tcPr>
          <w:p>
            <w:r/>
            <w:r>
              <w:rPr>
                <w:rFonts w:ascii="Arial" w:hAnsi="Arial"/>
                <w:b w:val="0"/>
                <w:sz w:val="18"/>
              </w:rPr>
              <w:t>SDS-VCS-001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Collagen + B12 Serum (Vegan)</w:t>
            </w:r>
          </w:p>
        </w:tc>
      </w:tr>
      <w:tr>
        <w:tc>
          <w:tcPr>
            <w:tcW w:type="dxa" w:w="4320"/>
          </w:tcPr>
          <w:p>
            <w:r/>
            <w:r>
              <w:rPr>
                <w:rFonts w:ascii="Arial" w:hAnsi="Arial"/>
                <w:b w:val="0"/>
                <w:sz w:val="18"/>
              </w:rPr>
              <w:t>Product Code</w:t>
            </w:r>
          </w:p>
        </w:tc>
        <w:tc>
          <w:tcPr>
            <w:tcW w:type="dxa" w:w="4320"/>
          </w:tcPr>
          <w:p>
            <w:r/>
            <w:r>
              <w:rPr>
                <w:rFonts w:ascii="Arial" w:hAnsi="Arial"/>
                <w:b w:val="0"/>
                <w:sz w:val="18"/>
              </w:rPr>
              <w:t>VCS</w:t>
            </w:r>
          </w:p>
        </w:tc>
      </w:tr>
      <w:tr>
        <w:tc>
          <w:tcPr>
            <w:tcW w:type="dxa" w:w="4320"/>
          </w:tcPr>
          <w:p>
            <w:r/>
            <w:r>
              <w:rPr>
                <w:rFonts w:ascii="Arial" w:hAnsi="Arial"/>
                <w:b w:val="0"/>
                <w:sz w:val="18"/>
              </w:rPr>
              <w:t>Recommended Use</w:t>
            </w:r>
          </w:p>
        </w:tc>
        <w:tc>
          <w:tcPr>
            <w:tcW w:type="dxa" w:w="4320"/>
          </w:tcPr>
          <w:p>
            <w:r/>
            <w:r>
              <w:rPr>
                <w:rFonts w:ascii="Arial" w:hAnsi="Arial"/>
                <w:b w:val="0"/>
                <w:sz w:val="18"/>
              </w:rPr>
              <w:t>Leave-on facial serum</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Benzyl Benzoate, Citral, Citronellol, Hexyl Cinnamal, Limonene, Linalool</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Pr>
                <w:rFonts w:ascii="Arial" w:hAnsi="Arial"/>
                <w:b w:val="0"/>
                <w:sz w:val="18"/>
              </w:rPr>
              <w:t xml:space="preserve">Deep red viscous liquid</w:t>
            </w:r>
          </w:p>
        </w:tc>
      </w:tr>
      <w:tr>
        <w:tc>
          <w:tcPr>
            <w:tcW w:type="dxa" w:w="4320"/>
          </w:tcPr>
          <w:p>
            <w:r/>
            <w:r>
              <w:rPr>
                <w:rFonts w:ascii="Arial" w:hAnsi="Arial"/>
                <w:b w:val="0"/>
                <w:sz w:val="18"/>
              </w:rPr>
              <w:t>Odour</w:t>
            </w:r>
          </w:p>
        </w:tc>
        <w:tc>
          <w:tcPr>
            <w:tcW w:type="dxa" w:w="4320"/>
          </w:tcPr>
          <w:p>
            <w:r/>
            <w:r>
              <w:rPr>
                <w:rFonts w:ascii="Arial" w:hAnsi="Arial"/>
                <w:b w:val="0"/>
                <w:sz w:val="18"/>
              </w:rPr>
              <w:t>Light citrus / herbal</w:t>
            </w:r>
          </w:p>
        </w:tc>
      </w:tr>
      <w:tr>
        <w:tc>
          <w:tcPr>
            <w:tcW w:type="dxa" w:w="4320"/>
          </w:tcPr>
          <w:p>
            <w:r/>
            <w:r>
              <w:rPr>
                <w:rFonts w:ascii="Arial" w:hAnsi="Arial"/>
                <w:b w:val="0"/>
                <w:sz w:val="18"/>
              </w:rPr>
              <w:t>pH</w:t>
            </w:r>
          </w:p>
        </w:tc>
        <w:tc>
          <w:tcPr>
            <w:tcW w:type="dxa" w:w="4320"/>
          </w:tcPr>
          <w:p>
            <w:r/>
            <w:r>
              <w:rPr>
                <w:rFonts w:ascii="Arial" w:hAnsi="Arial"/>
                <w:b w:val="0"/>
                <w:sz w:val="18"/>
              </w:rPr>
              <w:t>5.0 – 6.5</w:t>
            </w:r>
          </w:p>
        </w:tc>
      </w:tr>
      <w:tr>
        <w:tc>
          <w:tcPr>
            <w:tcW w:type="dxa" w:w="4320"/>
          </w:tcPr>
          <w:p>
            <w:r/>
            <w:r>
              <w:rPr>
                <w:rFonts w:ascii="Arial" w:hAnsi="Arial"/>
                <w:b w:val="0"/>
                <w:sz w:val="18"/>
              </w:rPr>
              <w:t>Solubility in water</w:t>
            </w:r>
          </w:p>
        </w:tc>
        <w:tc>
          <w:tcPr>
            <w:tcW w:type="dxa" w:w="4320"/>
          </w:tcPr>
          <w:p>
            <w:r/>
            <w:r>
              <w:rPr>
                <w:rFonts w:ascii="Arial" w:hAnsi="Arial"/>
                <w:b w:val="0"/>
                <w:sz w:val="18"/>
              </w:rPr>
              <w:t>Miscible / dispersible</w:t>
            </w:r>
          </w:p>
        </w:tc>
      </w:tr>
      <w:tr>
        <w:tc>
          <w:tcPr>
            <w:tcW w:type="dxa" w:w="4320"/>
          </w:tcPr>
          <w:p>
            <w:r/>
            <w:r>
              <w:rPr>
                <w:rFonts w:ascii="Arial" w:hAnsi="Arial"/>
                <w:b w:val="0"/>
                <w:sz w:val="18"/>
              </w:rPr>
              <w:t>Flash point</w:t>
            </w:r>
          </w:p>
        </w:tc>
        <w:tc>
          <w:tcPr>
            <w:tcW w:type="dxa" w:w="4320"/>
          </w:tcPr>
          <w:p>
            <w:r/>
            <w:r>
              <w:rPr>
                <w:rFonts w:ascii="Arial" w:hAnsi="Arial"/>
                <w:b w:val="0"/>
                <w:sz w:val="18"/>
              </w:rPr>
              <w:t>Not determined</w:t>
            </w:r>
          </w:p>
        </w:tc>
      </w:tr>
      <w:tr>
        <w:tc>
          <w:tcPr>
            <w:tcW w:type="dxa" w:w="4320"/>
          </w:tcPr>
          <w:p>
            <w:r/>
            <w:r>
              <w:rPr>
                <w:rFonts w:ascii="Arial" w:hAnsi="Arial"/>
                <w:b w:val="0"/>
                <w:sz w:val="18"/>
              </w:rPr>
              <w:t>Density</w:t>
            </w:r>
          </w:p>
        </w:tc>
        <w:tc>
          <w:tcPr>
            <w:tcW w:type="dxa" w:w="4320"/>
          </w:tcPr>
          <w:p>
            <w:r/>
            <w:r>
              <w:rPr>
                <w:rFonts w:ascii="Arial" w:hAnsi="Arial"/>
                <w:b w:val="0"/>
                <w:sz w:val="18"/>
              </w:rPr>
              <w:t>~1.0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Contains fragrance allergens (Benzyl Benzoate, Citral, Citronellol, Hexyl Cinnamal, Limonene, Linalool). Declared on label per EC 1223/2009 Annex III.</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 Fragrance allergens declared per Annex III.</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