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Calibri" w:hAnsi="Calibri"/>
          <w:b/>
          <w:sz w:val="32"/>
        </w:rPr>
        <w:t>CERTIFICATE OF ANALYSIS</w:t>
      </w:r>
    </w:p>
    <w:p>
      <w:pPr>
        <w:jc w:val="center"/>
      </w:pPr>
      <w:r>
        <w:rPr>
          <w:rFonts w:ascii="Calibri" w:hAnsi="Calibri"/>
          <w:b w:val="0"/>
          <w:sz w:val="20"/>
        </w:rPr>
        <w:t>Cellular Industries Pty Ltd t/a Cellular Cosmetics — ABN 73 668 909 984</w:t>
      </w:r>
    </w:p>
    <w:p>
      <w:pPr>
        <w:jc w:val="center"/>
      </w:pPr>
      <w:r>
        <w:rPr>
          <w:rFonts w:ascii="Calibri" w:hAnsi="Calibri"/>
          <w:b/>
          <w:sz w:val="28"/>
        </w:rPr>
        <w:t>Sweet Orange Lip Balm</w:t>
      </w:r>
    </w:p>
    <w:p>
      <w:pPr>
        <w:pStyle w:val="Heading2"/>
      </w:pPr>
      <w:r>
        <w:t>Product Identification</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Product Name</w:t>
            </w:r>
          </w:p>
        </w:tc>
        <w:tc>
          <w:tcPr>
            <w:tcW w:type="dxa" w:w="4320"/>
          </w:tcPr>
          <w:p>
            <w:r/>
            <w:r>
              <w:rPr>
                <w:rFonts w:ascii="Calibri" w:hAnsi="Calibri"/>
                <w:b w:val="0"/>
                <w:sz w:val="18"/>
              </w:rPr>
              <w:t>Sweet Orange Lip Balm</w:t>
            </w:r>
          </w:p>
        </w:tc>
      </w:tr>
      <w:tr>
        <w:tc>
          <w:tcPr>
            <w:tcW w:type="dxa" w:w="4320"/>
          </w:tcPr>
          <w:p>
            <w:r/>
            <w:r>
              <w:rPr>
                <w:rFonts w:ascii="Calibri" w:hAnsi="Calibri"/>
                <w:b w:val="0"/>
                <w:sz w:val="18"/>
              </w:rPr>
              <w:t>Product Code</w:t>
            </w:r>
          </w:p>
        </w:tc>
        <w:tc>
          <w:tcPr>
            <w:tcW w:type="dxa" w:w="4320"/>
          </w:tcPr>
          <w:p>
            <w:r/>
            <w:r>
              <w:rPr>
                <w:rFonts w:ascii="Calibri" w:hAnsi="Calibri"/>
                <w:b w:val="0"/>
                <w:sz w:val="18"/>
              </w:rPr>
              <w:t>ORABALM</w:t>
            </w:r>
          </w:p>
        </w:tc>
      </w:tr>
      <w:tr>
        <w:tc>
          <w:tcPr>
            <w:tcW w:type="dxa" w:w="4320"/>
          </w:tcPr>
          <w:p>
            <w:r/>
            <w:r>
              <w:rPr>
                <w:rFonts w:ascii="Calibri" w:hAnsi="Calibri"/>
                <w:b w:val="0"/>
                <w:sz w:val="18"/>
              </w:rPr>
              <w:t>Batch Number</w:t>
            </w:r>
          </w:p>
        </w:tc>
        <w:tc>
          <w:tcPr>
            <w:tcW w:type="dxa" w:w="4320"/>
          </w:tcPr>
          <w:p>
            <w:r/>
            <w:r>
              <w:rPr>
                <w:rFonts w:ascii="Calibri" w:hAnsi="Calibri"/>
                <w:b w:val="0"/>
                <w:sz w:val="18"/>
              </w:rPr>
              <w:t>PL-19FBA</w:t>
            </w:r>
          </w:p>
        </w:tc>
      </w:tr>
      <w:tr>
        <w:tc>
          <w:tcPr>
            <w:tcW w:type="dxa" w:w="4320"/>
          </w:tcPr>
          <w:p>
            <w:r/>
            <w:r>
              <w:rPr>
                <w:rFonts w:ascii="Calibri" w:hAnsi="Calibri"/>
                <w:b w:val="0"/>
                <w:sz w:val="18"/>
              </w:rPr>
              <w:t>Date of Manufacture</w:t>
            </w:r>
          </w:p>
        </w:tc>
        <w:tc>
          <w:tcPr>
            <w:tcW w:type="dxa" w:w="4320"/>
          </w:tcPr>
          <w:p>
            <w:r/>
            <w:r>
              <w:rPr>
                <w:rFonts w:ascii="Calibri" w:hAnsi="Calibri"/>
                <w:b w:val="0"/>
                <w:sz w:val="18"/>
              </w:rPr>
              <w:t>19 June 2026</w:t>
            </w:r>
          </w:p>
        </w:tc>
      </w:tr>
      <w:tr>
        <w:tc>
          <w:tcPr>
            <w:tcW w:type="dxa" w:w="4320"/>
          </w:tcPr>
          <w:p>
            <w:r/>
            <w:r>
              <w:rPr>
                <w:rFonts w:ascii="Calibri" w:hAnsi="Calibri"/>
                <w:b w:val="0"/>
                <w:sz w:val="18"/>
              </w:rPr>
              <w:t>Date of Expiry / Best Before</w:t>
            </w:r>
          </w:p>
        </w:tc>
        <w:tc>
          <w:tcPr>
            <w:tcW w:type="dxa" w:w="4320"/>
          </w:tcPr>
          <w:p>
            <w:r/>
            <w:r>
              <w:rPr>
                <w:rFonts w:ascii="Calibri" w:hAnsi="Calibri"/>
                <w:b w:val="0"/>
                <w:sz w:val="18"/>
              </w:rPr>
              <w:t>24 months after manufacture date or 12 months after opening, whichever is sooner</w:t>
            </w:r>
          </w:p>
        </w:tc>
      </w:tr>
      <w:tr>
        <w:tc>
          <w:tcPr>
            <w:tcW w:type="dxa" w:w="4320"/>
          </w:tcPr>
          <w:p>
            <w:r/>
            <w:r>
              <w:rPr>
                <w:rFonts w:ascii="Calibri" w:hAnsi="Calibri"/>
                <w:b w:val="0"/>
                <w:sz w:val="18"/>
              </w:rPr>
              <w:t>Period After Opening (PAO)</w:t>
            </w:r>
          </w:p>
        </w:tc>
        <w:tc>
          <w:tcPr>
            <w:tcW w:type="dxa" w:w="4320"/>
          </w:tcPr>
          <w:p>
            <w:r/>
            <w:r>
              <w:rPr>
                <w:rFonts w:ascii="Calibri" w:hAnsi="Calibri"/>
                <w:b w:val="0"/>
                <w:sz w:val="18"/>
              </w:rPr>
              <w:t>12 months</w:t>
            </w:r>
          </w:p>
        </w:tc>
      </w:tr>
      <w:tr>
        <w:tc>
          <w:tcPr>
            <w:tcW w:type="dxa" w:w="4320"/>
          </w:tcPr>
          <w:p>
            <w:r/>
            <w:r>
              <w:rPr>
                <w:rFonts w:ascii="Calibri" w:hAnsi="Calibri"/>
                <w:b w:val="0"/>
                <w:sz w:val="18"/>
              </w:rPr>
              <w:t>Manufacturer</w:t>
            </w:r>
          </w:p>
        </w:tc>
        <w:tc>
          <w:tcPr>
            <w:tcW w:type="dxa" w:w="4320"/>
          </w:tcPr>
          <w:p>
            <w:r/>
            <w:r>
              <w:rPr>
                <w:rFonts w:ascii="Calibri" w:hAnsi="Calibri"/>
                <w:b w:val="0"/>
                <w:sz w:val="18"/>
              </w:rPr>
              <w:t>Cellular Industries Pty Ltd t/a Cellular Cosmetics</w:t>
            </w:r>
          </w:p>
        </w:tc>
      </w:tr>
      <w:tr>
        <w:tc>
          <w:tcPr>
            <w:tcW w:type="dxa" w:w="4320"/>
          </w:tcPr>
          <w:p>
            <w:r/>
            <w:r>
              <w:rPr>
                <w:rFonts w:ascii="Calibri" w:hAnsi="Calibri"/>
                <w:b w:val="0"/>
                <w:sz w:val="18"/>
              </w:rPr>
              <w:t>Address</w:t>
            </w:r>
          </w:p>
        </w:tc>
        <w:tc>
          <w:tcPr>
            <w:tcW w:type="dxa" w:w="4320"/>
          </w:tcPr>
          <w:p>
            <w:r/>
            <w:r>
              <w:rPr>
                <w:rFonts w:ascii="Calibri" w:hAnsi="Calibri"/>
                <w:b w:val="0"/>
                <w:sz w:val="18"/>
              </w:rPr>
              <w:t>1/7 Activity Crescent, Molendinar, QLD, Australia</w:t>
            </w:r>
          </w:p>
        </w:tc>
      </w:tr>
    </w:tbl>
    <w:p>
      <w:r>
        <w:rPr>
          <w:rFonts w:ascii="Calibri" w:hAnsi="Calibri"/>
          <w:b/>
          <w:sz w:val="18"/>
        </w:rPr>
        <w:t>INCI Declaration:</w:t>
      </w:r>
    </w:p>
    <w:p>
      <w:r>
        <w:rPr>
          <w:rFonts w:ascii="Calibri" w:hAnsi="Calibri"/>
          <w:b w:val="0"/>
          <w:sz w:val="18"/>
        </w:rPr>
        <w:t>Caprylic/capric Triglycerides, Euphorbia Cerifera Cera,  Cocos Nucifera Oil, Persea Gratissima Oil, Butyrospermum Parkii Butter, Helianthus Annuus Seed Oil,   Simmondsia Chinensis Seed Oil, Tocopherol, Citrus Aurantium Dulcis Peel Oil, Flavour, Rebaudiana Leaf Extract, Citral, Geraniol, Limonene, Linalool</w:t>
      </w:r>
    </w:p>
    <w:p>
      <w:pPr>
        <w:pStyle w:val="Heading2"/>
      </w:pPr>
      <w:r>
        <w:t>Specifications &amp; Test Results</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r>
              <w:rPr>
                <w:rFonts w:ascii="Calibri" w:hAnsi="Calibri"/>
                <w:b/>
                <w:sz w:val="18"/>
              </w:rPr>
              <w:t>Test</w:t>
            </w:r>
          </w:p>
        </w:tc>
        <w:tc>
          <w:tcPr>
            <w:tcW w:type="dxa" w:w="1728"/>
          </w:tcPr>
          <w:p>
            <w:r/>
            <w:r>
              <w:rPr>
                <w:rFonts w:ascii="Calibri" w:hAnsi="Calibri"/>
                <w:b/>
                <w:sz w:val="18"/>
              </w:rPr>
              <w:t>Method</w:t>
            </w:r>
          </w:p>
        </w:tc>
        <w:tc>
          <w:tcPr>
            <w:tcW w:type="dxa" w:w="1728"/>
          </w:tcPr>
          <w:p>
            <w:r/>
            <w:r>
              <w:rPr>
                <w:rFonts w:ascii="Calibri" w:hAnsi="Calibri"/>
                <w:b/>
                <w:sz w:val="18"/>
              </w:rPr>
              <w:t>Specification</w:t>
            </w:r>
          </w:p>
        </w:tc>
        <w:tc>
          <w:tcPr>
            <w:tcW w:type="dxa" w:w="1728"/>
          </w:tcPr>
          <w:p>
            <w:r/>
            <w:r>
              <w:rPr>
                <w:rFonts w:ascii="Calibri" w:hAnsi="Calibri"/>
                <w:b/>
                <w:sz w:val="18"/>
              </w:rPr>
              <w:t>Result</w:t>
            </w:r>
          </w:p>
        </w:tc>
        <w:tc>
          <w:tcPr>
            <w:tcW w:type="dxa" w:w="1728"/>
          </w:tcPr>
          <w:p>
            <w:r/>
            <w:r>
              <w:rPr>
                <w:rFonts w:ascii="Calibri" w:hAnsi="Calibri"/>
                <w:b/>
                <w:sz w:val="18"/>
              </w:rPr>
              <w:t>Pass / Fail</w:t>
            </w:r>
          </w:p>
        </w:tc>
      </w:tr>
      <w:tr>
        <w:tc>
          <w:tcPr>
            <w:tcW w:type="dxa" w:w="1728"/>
          </w:tcPr>
          <w:p>
            <w:r/>
            <w:r>
              <w:rPr>
                <w:rFonts w:ascii="Calibri" w:hAnsi="Calibri"/>
                <w:b w:val="0"/>
                <w:sz w:val="18"/>
              </w:rPr>
              <w:t>Appearance</w:t>
            </w:r>
          </w:p>
        </w:tc>
        <w:tc>
          <w:tcPr>
            <w:tcW w:type="dxa" w:w="1728"/>
          </w:tcPr>
          <w:p>
            <w:r/>
            <w:r>
              <w:rPr>
                <w:rFonts w:ascii="Calibri" w:hAnsi="Calibri"/>
                <w:b w:val="0"/>
                <w:sz w:val="18"/>
              </w:rPr>
              <w:t>Visual</w:t>
            </w:r>
          </w:p>
        </w:tc>
        <w:tc>
          <w:tcPr>
            <w:tcW w:type="dxa" w:w="1728"/>
          </w:tcPr>
          <w:p>
            <w:r/>
            <w:r>
              <w:rPr>
                <w:rFonts w:ascii="Calibri" w:hAnsi="Calibri"/>
                <w:b w:val="0"/>
                <w:sz w:val="18"/>
              </w:rPr>
              <w:t>Translucent / orange tint</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Odour</w:t>
            </w:r>
          </w:p>
        </w:tc>
        <w:tc>
          <w:tcPr>
            <w:tcW w:type="dxa" w:w="1728"/>
          </w:tcPr>
          <w:p>
            <w:r/>
            <w:r>
              <w:rPr>
                <w:rFonts w:ascii="Calibri" w:hAnsi="Calibri"/>
                <w:b w:val="0"/>
                <w:sz w:val="18"/>
              </w:rPr>
              <w:t>Olfactory</w:t>
            </w:r>
          </w:p>
        </w:tc>
        <w:tc>
          <w:tcPr>
            <w:tcW w:type="dxa" w:w="1728"/>
          </w:tcPr>
          <w:p>
            <w:r/>
            <w:r>
              <w:rPr>
                <w:rFonts w:ascii="Calibri" w:hAnsi="Calibri"/>
                <w:b w:val="0"/>
                <w:sz w:val="18"/>
              </w:rPr>
              <w:t>Sweet orange</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pH (25 °C)</w:t>
            </w:r>
          </w:p>
        </w:tc>
        <w:tc>
          <w:tcPr>
            <w:tcW w:type="dxa" w:w="1728"/>
          </w:tcPr>
          <w:p>
            <w:r/>
            <w:r>
              <w:rPr>
                <w:rFonts w:ascii="Calibri" w:hAnsi="Calibri"/>
                <w:b w:val="0"/>
                <w:sz w:val="18"/>
              </w:rPr>
              <w:t>Calibrated pH meter</w:t>
            </w:r>
          </w:p>
        </w:tc>
        <w:tc>
          <w:tcPr>
            <w:tcW w:type="dxa" w:w="1728"/>
          </w:tcPr>
          <w:p>
            <w:r/>
            <w:r>
              <w:rPr>
                <w:rFonts w:ascii="Calibri" w:hAnsi="Calibri"/>
                <w:b w:val="0"/>
                <w:sz w:val="18"/>
              </w:rPr>
              <w:t>N/A (anhydrous)</w:t>
            </w:r>
          </w:p>
        </w:tc>
        <w:tc>
          <w:tcPr>
            <w:tcW w:type="dxa" w:w="1728"/>
          </w:tcPr>
          <w:p>
            <w:r/>
            <w:r>
              <w:rPr>
                <w:rFonts w:ascii="Calibri" w:hAnsi="Calibri"/>
                <w:b w:val="0"/>
                <w:sz w:val="18"/>
              </w:rPr>
              <w:t>-</w:t>
            </w:r>
          </w:p>
        </w:tc>
        <w:tc>
          <w:tcPr>
            <w:tcW w:type="dxa" w:w="1728"/>
          </w:tcPr>
          <w:p>
            <w:r/>
            <w:r>
              <w:rPr>
                <w:rFonts w:ascii="Calibri" w:hAnsi="Calibri"/>
                <w:b w:val="0"/>
                <w:sz w:val="18"/>
              </w:rPr>
              <w:t>-</w:t>
            </w:r>
          </w:p>
        </w:tc>
      </w:tr>
      <w:tr>
        <w:tc>
          <w:tcPr>
            <w:tcW w:type="dxa" w:w="1728"/>
          </w:tcPr>
          <w:p>
            <w:r/>
            <w:r>
              <w:rPr>
                <w:rFonts w:ascii="Calibri" w:hAnsi="Calibri"/>
                <w:b w:val="0"/>
                <w:sz w:val="18"/>
              </w:rPr>
              <w:t>Viscosity</w:t>
            </w:r>
          </w:p>
        </w:tc>
        <w:tc>
          <w:tcPr>
            <w:tcW w:type="dxa" w:w="1728"/>
          </w:tcPr>
          <w:p>
            <w:r/>
            <w:r>
              <w:rPr>
                <w:rFonts w:ascii="Calibri" w:hAnsi="Calibri"/>
                <w:b w:val="0"/>
                <w:sz w:val="18"/>
              </w:rPr>
              <w:t>Brookfield / visual</w:t>
            </w:r>
          </w:p>
        </w:tc>
        <w:tc>
          <w:tcPr>
            <w:tcW w:type="dxa" w:w="1728"/>
          </w:tcPr>
          <w:p>
            <w:r/>
            <w:r>
              <w:rPr>
                <w:rFonts w:ascii="Calibri" w:hAnsi="Calibri"/>
                <w:b w:val="0"/>
                <w:sz w:val="18"/>
              </w:rPr>
              <w:t>Within standard range</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Specific gravity</w:t>
            </w:r>
          </w:p>
        </w:tc>
        <w:tc>
          <w:tcPr>
            <w:tcW w:type="dxa" w:w="1728"/>
          </w:tcPr>
          <w:p>
            <w:r/>
            <w:r>
              <w:rPr>
                <w:rFonts w:ascii="Calibri" w:hAnsi="Calibri"/>
                <w:b w:val="0"/>
                <w:sz w:val="18"/>
              </w:rPr>
              <w:t>Hydrometer</w:t>
            </w:r>
          </w:p>
        </w:tc>
        <w:tc>
          <w:tcPr>
            <w:tcW w:type="dxa" w:w="1728"/>
          </w:tcPr>
          <w:p>
            <w:r/>
            <w:r>
              <w:rPr>
                <w:rFonts w:ascii="Calibri" w:hAnsi="Calibri"/>
                <w:b w:val="0"/>
                <w:sz w:val="18"/>
              </w:rPr>
              <w:t>0.90 – 0.96 g/mL</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TAMC</w:t>
            </w:r>
          </w:p>
        </w:tc>
        <w:tc>
          <w:tcPr>
            <w:tcW w:type="dxa" w:w="1728"/>
          </w:tcPr>
          <w:p>
            <w:r/>
            <w:r>
              <w:rPr>
                <w:rFonts w:ascii="Calibri" w:hAnsi="Calibri"/>
                <w:b w:val="0"/>
                <w:sz w:val="18"/>
              </w:rPr>
              <w:t>ISO 21149</w:t>
            </w:r>
          </w:p>
        </w:tc>
        <w:tc>
          <w:tcPr>
            <w:tcW w:type="dxa" w:w="1728"/>
          </w:tcPr>
          <w:p>
            <w:r/>
            <w:r>
              <w:rPr>
                <w:rFonts w:ascii="Calibri" w:hAnsi="Calibri"/>
                <w:b w:val="0"/>
                <w:sz w:val="18"/>
              </w:rPr>
              <w:t>≤ 1,000 CFU/g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TYMC</w:t>
            </w:r>
          </w:p>
        </w:tc>
        <w:tc>
          <w:tcPr>
            <w:tcW w:type="dxa" w:w="1728"/>
          </w:tcPr>
          <w:p>
            <w:r/>
            <w:r>
              <w:rPr>
                <w:rFonts w:ascii="Calibri" w:hAnsi="Calibri"/>
                <w:b w:val="0"/>
                <w:sz w:val="18"/>
              </w:rPr>
              <w:t>ISO 16212</w:t>
            </w:r>
          </w:p>
        </w:tc>
        <w:tc>
          <w:tcPr>
            <w:tcW w:type="dxa" w:w="1728"/>
          </w:tcPr>
          <w:p>
            <w:r/>
            <w:r>
              <w:rPr>
                <w:rFonts w:ascii="Calibri" w:hAnsi="Calibri"/>
                <w:b w:val="0"/>
                <w:sz w:val="18"/>
              </w:rPr>
              <w:t>≤ 100 CFU/g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S. aureus</w:t>
            </w:r>
          </w:p>
        </w:tc>
        <w:tc>
          <w:tcPr>
            <w:tcW w:type="dxa" w:w="1728"/>
          </w:tcPr>
          <w:p>
            <w:r/>
            <w:r>
              <w:rPr>
                <w:rFonts w:ascii="Calibri" w:hAnsi="Calibri"/>
                <w:b w:val="0"/>
                <w:sz w:val="18"/>
              </w:rPr>
              <w:t>ISO 22718</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P. aeruginosa</w:t>
            </w:r>
          </w:p>
        </w:tc>
        <w:tc>
          <w:tcPr>
            <w:tcW w:type="dxa" w:w="1728"/>
          </w:tcPr>
          <w:p>
            <w:r/>
            <w:r>
              <w:rPr>
                <w:rFonts w:ascii="Calibri" w:hAnsi="Calibri"/>
                <w:b w:val="0"/>
                <w:sz w:val="18"/>
              </w:rPr>
              <w:t>ISO 22717</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E. coli</w:t>
            </w:r>
          </w:p>
        </w:tc>
        <w:tc>
          <w:tcPr>
            <w:tcW w:type="dxa" w:w="1728"/>
          </w:tcPr>
          <w:p>
            <w:r/>
            <w:r>
              <w:rPr>
                <w:rFonts w:ascii="Calibri" w:hAnsi="Calibri"/>
                <w:b w:val="0"/>
                <w:sz w:val="18"/>
              </w:rPr>
              <w:t>ISO 21150</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C. albicans</w:t>
            </w:r>
          </w:p>
        </w:tc>
        <w:tc>
          <w:tcPr>
            <w:tcW w:type="dxa" w:w="1728"/>
          </w:tcPr>
          <w:p>
            <w:r/>
            <w:r>
              <w:rPr>
                <w:rFonts w:ascii="Calibri" w:hAnsi="Calibri"/>
                <w:b w:val="0"/>
                <w:sz w:val="18"/>
              </w:rPr>
              <w:t>ISO 18416</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bl>
    <w:p>
      <w:pPr>
        <w:pStyle w:val="Heading2"/>
      </w:pPr>
      <w:r>
        <w:t>Conclusion</w:t>
      </w:r>
    </w:p>
    <w:p>
      <w:r>
        <w:rPr>
          <w:rFonts w:ascii="Calibri" w:hAnsi="Calibri"/>
          <w:b w:val="0"/>
          <w:sz w:val="18"/>
        </w:rPr>
        <w:t>The above batch has been tested against the product specifications and CONFORMS. This product is released for distribution.</w:t>
      </w:r>
    </w:p>
    <w:p>
      <w:pPr>
        <w:pStyle w:val="Heading2"/>
      </w:pPr>
      <w:r>
        <w:t>Authorised Release</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QC Officer Name</w:t>
            </w:r>
          </w:p>
        </w:tc>
        <w:tc>
          <w:tcPr>
            <w:tcW w:type="dxa" w:w="4320"/>
          </w:tcPr>
          <w:p>
            <w:r/>
            <w:r>
              <w:rPr>
                <w:rFonts w:ascii="Calibri" w:hAnsi="Calibri"/>
                <w:b w:val="0"/>
                <w:sz w:val="18"/>
              </w:rPr>
              <w:t>Jonathan Kafritsas</w:t>
            </w:r>
          </w:p>
        </w:tc>
      </w:tr>
      <w:tr>
        <w:tc>
          <w:tcPr>
            <w:tcW w:type="dxa" w:w="4320"/>
          </w:tcPr>
          <w:p>
            <w:r/>
            <w:r>
              <w:rPr>
                <w:rFonts w:ascii="Calibri" w:hAnsi="Calibri"/>
                <w:b w:val="0"/>
                <w:sz w:val="18"/>
              </w:rPr>
              <w:t>Qualifications</w:t>
            </w:r>
          </w:p>
        </w:tc>
        <w:tc>
          <w:tcPr>
            <w:tcW w:type="dxa" w:w="4320"/>
          </w:tcPr>
          <w:p>
            <w:r/>
            <w:r>
              <w:rPr>
                <w:rFonts w:ascii="Calibri" w:hAnsi="Calibri"/>
                <w:b w:val="0"/>
                <w:sz w:val="18"/>
              </w:rPr>
              <w:t>Bachelor of Biomedical Science &amp; Medical Research, Griffith University</w:t>
            </w:r>
          </w:p>
        </w:tc>
      </w:tr>
      <w:tr>
        <w:tc>
          <w:tcPr>
            <w:tcW w:type="dxa" w:w="4320"/>
          </w:tcPr>
          <w:p>
            <w:r/>
            <w:r>
              <w:rPr>
                <w:rFonts w:ascii="Calibri" w:hAnsi="Calibri"/>
                <w:b w:val="0"/>
                <w:sz w:val="18"/>
              </w:rPr>
              <w:t>Position</w:t>
            </w:r>
          </w:p>
        </w:tc>
        <w:tc>
          <w:tcPr>
            <w:tcW w:type="dxa" w:w="4320"/>
          </w:tcPr>
          <w:p>
            <w:r/>
            <w:r>
              <w:rPr>
                <w:rFonts w:ascii="Calibri" w:hAnsi="Calibri"/>
                <w:b w:val="0"/>
                <w:sz w:val="18"/>
              </w:rPr>
              <w:t>Safety Assessor / Quality Control</w:t>
            </w:r>
          </w:p>
        </w:tc>
      </w:tr>
      <w:tr>
        <w:tc>
          <w:tcPr>
            <w:tcW w:type="dxa" w:w="4320"/>
          </w:tcPr>
          <w:p>
            <w:r/>
            <w:r>
              <w:rPr>
                <w:rFonts w:ascii="Calibri" w:hAnsi="Calibri"/>
                <w:b w:val="0"/>
                <w:sz w:val="18"/>
              </w:rPr>
              <w:t>Address</w:t>
            </w:r>
          </w:p>
        </w:tc>
        <w:tc>
          <w:tcPr>
            <w:tcW w:type="dxa" w:w="4320"/>
          </w:tcPr>
          <w:p>
            <w:r/>
            <w:r>
              <w:rPr>
                <w:rFonts w:ascii="Calibri" w:hAnsi="Calibri"/>
                <w:b w:val="0"/>
                <w:sz w:val="18"/>
              </w:rPr>
              <w:t>1/7 Activity Crescent, Molendinar, QLD, Australia</w:t>
            </w:r>
          </w:p>
        </w:tc>
      </w:tr>
      <w:tr>
        <w:tc>
          <w:tcPr>
            <w:tcW w:type="dxa" w:w="4320"/>
          </w:tcPr>
          <w:p>
            <w:r/>
            <w:r>
              <w:rPr>
                <w:rFonts w:ascii="Calibri" w:hAnsi="Calibri"/>
                <w:b w:val="0"/>
                <w:sz w:val="18"/>
              </w:rPr>
              <w:t>Email</w:t>
            </w:r>
          </w:p>
        </w:tc>
        <w:tc>
          <w:tcPr>
            <w:tcW w:type="dxa" w:w="4320"/>
          </w:tcPr>
          <w:p>
            <w:r/>
            <w:r>
              <w:rPr>
                <w:rFonts w:ascii="Calibri" w:hAnsi="Calibri"/>
                <w:b w:val="0"/>
                <w:sz w:val="18"/>
              </w:rPr>
              <w:t>admin@cellular-cosmetics.com</w:t>
            </w:r>
          </w:p>
        </w:tc>
      </w:tr>
      <w:tr>
        <w:tc>
          <w:tcPr>
            <w:tcW w:type="dxa" w:w="4320"/>
          </w:tcPr>
          <w:p>
            <w:r/>
            <w:r>
              <w:rPr>
                <w:rFonts w:ascii="Calibri" w:hAnsi="Calibri"/>
                <w:b w:val="0"/>
                <w:sz w:val="18"/>
              </w:rPr>
              <w:t>Date of Release</w:t>
            </w:r>
          </w:p>
        </w:tc>
        <w:tc>
          <w:tcPr>
            <w:tcW w:type="dxa" w:w="4320"/>
          </w:tcPr>
          <w:p>
            <w:r/>
            <w:r>
              <w:rPr>
                <w:rFonts w:ascii="Calibri" w:hAnsi="Calibri"/>
                <w:b w:val="0"/>
                <w:sz w:val="18"/>
              </w:rPr>
              <w:t>19 June 2026</w:t>
            </w:r>
          </w:p>
        </w:tc>
      </w:tr>
    </w:tbl>
    <w:sectPr w:rsidR="00FC693F" w:rsidRPr="0006063C" w:rsidSect="00034616">
      <w:headerReference w:type="default" r:id="rId9"/>
      <w:footerReference w:type="default" r:id="rId10"/>
      <w:headerReference w:type="first" r:id="rId11"/>
      <w:footerReference w:type="first" r:id="rId1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