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ANALYSIS</w:t>
      </w:r>
    </w:p>
    <w:p>
      <w:pPr>
        <w:jc w:val="center"/>
      </w:pPr>
      <w:r>
        <w:rPr>
          <w:rFonts w:ascii="Calibri" w:hAnsi="Calibri"/>
          <w:b w:val="0"/>
          <w:sz w:val="20"/>
        </w:rPr>
        <w:t>Cellular Industries Pty Ltd t/a Cellular Cosmetics — ABN 73 668 909 984</w:t>
      </w:r>
    </w:p>
    <w:p>
      <w:pPr>
        <w:jc w:val="center"/>
      </w:pPr>
      <w:r>
        <w:rPr>
          <w:rFonts w:ascii="Calibri" w:hAnsi="Calibri"/>
          <w:b/>
          <w:sz w:val="28"/>
        </w:rPr>
        <w:t>Deluxe Beard Oil</w:t>
      </w:r>
    </w:p>
    <w:p>
      <w:pPr>
        <w:pStyle w:val="Heading2"/>
      </w:pPr>
      <w:r>
        <w:t>Product Identification</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Deluxe Beard Oil</w:t>
            </w:r>
          </w:p>
        </w:tc>
      </w:tr>
      <w:tr>
        <w:tc>
          <w:tcPr>
            <w:tcW w:type="dxa" w:w="4320"/>
          </w:tcPr>
          <w:p>
            <w:r/>
            <w:r>
              <w:rPr>
                <w:rFonts w:ascii="Calibri" w:hAnsi="Calibri"/>
                <w:b w:val="0"/>
                <w:sz w:val="18"/>
              </w:rPr>
              <w:t>Product Code</w:t>
            </w:r>
          </w:p>
        </w:tc>
        <w:tc>
          <w:tcPr>
            <w:tcW w:type="dxa" w:w="4320"/>
          </w:tcPr>
          <w:p>
            <w:r/>
            <w:r>
              <w:rPr>
                <w:rFonts w:ascii="Calibri" w:hAnsi="Calibri"/>
                <w:b w:val="0"/>
                <w:sz w:val="18"/>
              </w:rPr>
              <w:t>DBO</w:t>
            </w:r>
          </w:p>
        </w:tc>
      </w:tr>
      <w:tr>
        <w:tc>
          <w:tcPr>
            <w:tcW w:type="dxa" w:w="4320"/>
          </w:tcPr>
          <w:p>
            <w:r/>
            <w:r>
              <w:rPr>
                <w:rFonts w:ascii="Calibri" w:hAnsi="Calibri"/>
                <w:b w:val="0"/>
                <w:sz w:val="18"/>
              </w:rPr>
              <w:t>Batch Number</w:t>
            </w:r>
          </w:p>
        </w:tc>
        <w:tc>
          <w:tcPr>
            <w:tcW w:type="dxa" w:w="4320"/>
          </w:tcPr>
          <w:p>
            <w:r/>
            <w:r>
              <w:rPr>
                <w:rFonts w:ascii="Calibri" w:hAnsi="Calibri"/>
                <w:b w:val="0"/>
                <w:sz w:val="18"/>
              </w:rPr>
              <w:t>BO-11BBA</w:t>
            </w:r>
          </w:p>
        </w:tc>
      </w:tr>
      <w:tr>
        <w:tc>
          <w:tcPr>
            <w:tcW w:type="dxa" w:w="4320"/>
          </w:tcPr>
          <w:p>
            <w:r/>
            <w:r>
              <w:rPr>
                <w:rFonts w:ascii="Calibri" w:hAnsi="Calibri"/>
                <w:b w:val="0"/>
                <w:sz w:val="18"/>
              </w:rPr>
              <w:t>Date of Manufacture</w:t>
            </w:r>
          </w:p>
        </w:tc>
        <w:tc>
          <w:tcPr>
            <w:tcW w:type="dxa" w:w="4320"/>
          </w:tcPr>
          <w:p>
            <w:r/>
            <w:r>
              <w:rPr>
                <w:rFonts w:ascii="Calibri" w:hAnsi="Calibri"/>
                <w:b w:val="0"/>
                <w:sz w:val="18"/>
              </w:rPr>
              <w:t>11 February 2026</w:t>
            </w:r>
          </w:p>
        </w:tc>
      </w:tr>
      <w:tr>
        <w:tc>
          <w:tcPr>
            <w:tcW w:type="dxa" w:w="4320"/>
          </w:tcPr>
          <w:p>
            <w:r/>
            <w:r>
              <w:rPr>
                <w:rFonts w:ascii="Calibri" w:hAnsi="Calibri"/>
                <w:b w:val="0"/>
                <w:sz w:val="18"/>
              </w:rPr>
              <w:t>Date of Expiry / Best Before</w:t>
            </w:r>
          </w:p>
        </w:tc>
        <w:tc>
          <w:tcPr>
            <w:tcW w:type="dxa" w:w="4320"/>
          </w:tcPr>
          <w:p>
            <w:r/>
            <w:r>
              <w:rPr>
                <w:rFonts w:ascii="Calibri" w:hAnsi="Calibri"/>
                <w:b w:val="0"/>
                <w:sz w:val="18"/>
              </w:rPr>
              <w:t>24 months after manufacture date or 12 months after opening, whichever is sooner</w:t>
            </w:r>
          </w:p>
        </w:tc>
      </w:tr>
      <w:tr>
        <w:tc>
          <w:tcPr>
            <w:tcW w:type="dxa" w:w="4320"/>
          </w:tcPr>
          <w:p>
            <w:r/>
            <w:r>
              <w:rPr>
                <w:rFonts w:ascii="Calibri" w:hAnsi="Calibri"/>
                <w:b w:val="0"/>
                <w:sz w:val="18"/>
              </w:rPr>
              <w:t>Period After Opening (PAO)</w:t>
            </w:r>
          </w:p>
        </w:tc>
        <w:tc>
          <w:tcPr>
            <w:tcW w:type="dxa" w:w="4320"/>
          </w:tcPr>
          <w:p>
            <w:r/>
            <w:r>
              <w:rPr>
                <w:rFonts w:ascii="Calibri" w:hAnsi="Calibri"/>
                <w:b w:val="0"/>
                <w:sz w:val="18"/>
              </w:rPr>
              <w:t>12 months</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Industries Pty Ltd t/a Cellular Cosmetics</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bl>
    <w:p>
      <w:r>
        <w:rPr>
          <w:rFonts w:ascii="Calibri" w:hAnsi="Calibri"/>
          <w:b/>
          <w:sz w:val="18"/>
        </w:rPr>
        <w:t>INCI Declaration:</w:t>
      </w:r>
    </w:p>
    <w:p>
      <w:r>
        <w:rPr>
          <w:rFonts w:ascii="Calibri" w:hAnsi="Calibri"/>
          <w:b w:val="0"/>
          <w:sz w:val="18"/>
        </w:rPr>
        <w:t>Caprylic/Capric Triglyceride, Ricinus Communis (Castor) Seed Oil, Cocos Nucifera (Coconut) Oil, Vitis Vinifera (Grape) Seed Oil, Squalane, Fragrance (Parfum), Mentha Piperita (Peppermint) Oil, Cinnamal, Citronellol, Coumarin, Eugenol, Hexyl Cinnamal, Limonene, Linalool</w:t>
      </w:r>
    </w:p>
    <w:p>
      <w:pPr>
        <w:pStyle w:val="Heading2"/>
      </w:pPr>
      <w:r>
        <w:t>Specifications &amp; Test Results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
              <w:rPr>
                <w:rFonts w:ascii="Calibri" w:hAnsi="Calibri"/>
                <w:b/>
                <w:sz w:val="18"/>
              </w:rPr>
              <w:t>Test</w:t>
            </w:r>
          </w:p>
        </w:tc>
        <w:tc>
          <w:tcPr>
            <w:tcW w:type="dxa" w:w="1728"/>
          </w:tcPr>
          <w:p>
            <w:r/>
            <w:r>
              <w:rPr>
                <w:rFonts w:ascii="Calibri" w:hAnsi="Calibri"/>
                <w:b/>
                <w:sz w:val="18"/>
              </w:rPr>
              <w:t>Method</w:t>
            </w:r>
          </w:p>
        </w:tc>
        <w:tc>
          <w:tcPr>
            <w:tcW w:type="dxa" w:w="1728"/>
          </w:tcPr>
          <w:p>
            <w:r/>
            <w:r>
              <w:rPr>
                <w:rFonts w:ascii="Calibri" w:hAnsi="Calibri"/>
                <w:b/>
                <w:sz w:val="18"/>
              </w:rPr>
              <w:t>Specification</w:t>
            </w:r>
          </w:p>
        </w:tc>
        <w:tc>
          <w:tcPr>
            <w:tcW w:type="dxa" w:w="1728"/>
          </w:tcPr>
          <w:p>
            <w:r/>
            <w:r>
              <w:rPr>
                <w:rFonts w:ascii="Calibri" w:hAnsi="Calibri"/>
                <w:b/>
                <w:sz w:val="18"/>
              </w:rPr>
              <w:t>Result</w:t>
            </w:r>
          </w:p>
        </w:tc>
        <w:tc>
          <w:tcPr>
            <w:tcW w:type="dxa" w:w="1728"/>
          </w:tcPr>
          <w:p>
            <w:r/>
            <w:r>
              <w:rPr>
                <w:rFonts w:ascii="Calibri" w:hAnsi="Calibri"/>
                <w:b/>
                <w:sz w:val="18"/>
              </w:rPr>
              <w:t>Pass / Fail</w:t>
            </w:r>
          </w:p>
        </w:tc>
      </w:tr>
      <w:tr>
        <w:tc>
          <w:tcPr>
            <w:tcW w:type="dxa" w:w="1728"/>
          </w:tcPr>
          <w:p>
            <w:r/>
            <w:r>
              <w:rPr>
                <w:rFonts w:ascii="Calibri" w:hAnsi="Calibri"/>
                <w:b w:val="0"/>
                <w:sz w:val="18"/>
              </w:rPr>
              <w:t>Appearance</w:t>
            </w:r>
          </w:p>
        </w:tc>
        <w:tc>
          <w:tcPr>
            <w:tcW w:type="dxa" w:w="1728"/>
          </w:tcPr>
          <w:p>
            <w:r/>
            <w:r>
              <w:rPr>
                <w:rFonts w:ascii="Calibri" w:hAnsi="Calibri"/>
                <w:b w:val="0"/>
                <w:sz w:val="18"/>
              </w:rPr>
              <w:t>Visual</w:t>
            </w:r>
          </w:p>
        </w:tc>
        <w:tc>
          <w:tcPr>
            <w:tcW w:type="dxa" w:w="1728"/>
          </w:tcPr>
          <w:p>
            <w:r/>
            <w:r>
              <w:rPr>
                <w:rFonts w:ascii="Calibri" w:hAnsi="Calibri"/>
                <w:b w:val="0"/>
                <w:sz w:val="18"/>
              </w:rPr>
              <w:t>Clear to golden</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Odour</w:t>
            </w:r>
          </w:p>
        </w:tc>
        <w:tc>
          <w:tcPr>
            <w:tcW w:type="dxa" w:w="1728"/>
          </w:tcPr>
          <w:p>
            <w:r/>
            <w:r>
              <w:rPr>
                <w:rFonts w:ascii="Calibri" w:hAnsi="Calibri"/>
                <w:b w:val="0"/>
                <w:sz w:val="18"/>
              </w:rPr>
              <w:t>Olfactory</w:t>
            </w:r>
          </w:p>
        </w:tc>
        <w:tc>
          <w:tcPr>
            <w:tcW w:type="dxa" w:w="1728"/>
          </w:tcPr>
          <w:p>
            <w:r/>
            <w:r>
              <w:rPr>
                <w:rFonts w:ascii="Calibri" w:hAnsi="Calibri"/>
                <w:b w:val="0"/>
                <w:sz w:val="18"/>
              </w:rPr>
              <w:t>Woody / leather / smoky</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pH (25 °C)</w:t>
            </w:r>
          </w:p>
        </w:tc>
        <w:tc>
          <w:tcPr>
            <w:tcW w:type="dxa" w:w="1728"/>
          </w:tcPr>
          <w:p>
            <w:r/>
            <w:r>
              <w:rPr>
                <w:rFonts w:ascii="Calibri" w:hAnsi="Calibri"/>
                <w:b w:val="0"/>
                <w:sz w:val="18"/>
              </w:rPr>
              <w:t>Calibrated pH meter</w:t>
            </w:r>
          </w:p>
        </w:tc>
        <w:tc>
          <w:tcPr>
            <w:tcW w:type="dxa" w:w="1728"/>
          </w:tcPr>
          <w:p>
            <w:r/>
            <w:r>
              <w:rPr>
                <w:rFonts w:ascii="Calibri" w:hAnsi="Calibri"/>
                <w:b w:val="0"/>
                <w:sz w:val="18"/>
              </w:rPr>
              <w:t>N/A (anhydrous)</w:t>
            </w:r>
          </w:p>
        </w:tc>
        <w:tc>
          <w:tcPr>
            <w:tcW w:type="dxa" w:w="1728"/>
          </w:tcPr>
          <w:p>
            <w:r/>
            <w:r>
              <w:rPr>
                <w:rFonts w:ascii="Calibri" w:hAnsi="Calibri"/>
                <w:b w:val="0"/>
                <w:sz w:val="18"/>
              </w:rPr>
              <w:t>-</w:t>
            </w:r>
          </w:p>
        </w:tc>
        <w:tc>
          <w:tcPr>
            <w:tcW w:type="dxa" w:w="1728"/>
          </w:tcPr>
          <w:p>
            <w:r/>
            <w:r>
              <w:rPr>
                <w:rFonts w:ascii="Calibri" w:hAnsi="Calibri"/>
                <w:b w:val="0"/>
                <w:sz w:val="18"/>
              </w:rPr>
              <w:t>-</w:t>
            </w:r>
          </w:p>
        </w:tc>
      </w:tr>
      <w:tr>
        <w:tc>
          <w:tcPr>
            <w:tcW w:type="dxa" w:w="1728"/>
          </w:tcPr>
          <w:p>
            <w:r/>
            <w:r>
              <w:rPr>
                <w:rFonts w:ascii="Calibri" w:hAnsi="Calibri"/>
                <w:b w:val="0"/>
                <w:sz w:val="18"/>
              </w:rPr>
              <w:t>Viscosity</w:t>
            </w:r>
          </w:p>
        </w:tc>
        <w:tc>
          <w:tcPr>
            <w:tcW w:type="dxa" w:w="1728"/>
          </w:tcPr>
          <w:p>
            <w:r/>
            <w:r>
              <w:rPr>
                <w:rFonts w:ascii="Calibri" w:hAnsi="Calibri"/>
                <w:b w:val="0"/>
                <w:sz w:val="18"/>
              </w:rPr>
              <w:t>Brookfield / visual</w:t>
            </w:r>
          </w:p>
        </w:tc>
        <w:tc>
          <w:tcPr>
            <w:tcW w:type="dxa" w:w="1728"/>
          </w:tcPr>
          <w:p>
            <w:r/>
            <w:r>
              <w:rPr>
                <w:rFonts w:ascii="Calibri" w:hAnsi="Calibri"/>
                <w:b w:val="0"/>
                <w:sz w:val="18"/>
              </w:rPr>
              <w:t>Within standard range</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Specific gravity</w:t>
            </w:r>
          </w:p>
        </w:tc>
        <w:tc>
          <w:tcPr>
            <w:tcW w:type="dxa" w:w="1728"/>
          </w:tcPr>
          <w:p>
            <w:r/>
            <w:r>
              <w:rPr>
                <w:rFonts w:ascii="Calibri" w:hAnsi="Calibri"/>
                <w:b w:val="0"/>
                <w:sz w:val="18"/>
              </w:rPr>
              <w:t>Hydrometer</w:t>
            </w:r>
          </w:p>
        </w:tc>
        <w:tc>
          <w:tcPr>
            <w:tcW w:type="dxa" w:w="1728"/>
          </w:tcPr>
          <w:p>
            <w:r/>
            <w:r>
              <w:rPr>
                <w:rFonts w:ascii="Calibri" w:hAnsi="Calibri"/>
                <w:b w:val="0"/>
                <w:sz w:val="18"/>
              </w:rPr>
              <w:t>0.90 – 0.96 g/mL</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TAMC</w:t>
            </w:r>
          </w:p>
        </w:tc>
        <w:tc>
          <w:tcPr>
            <w:tcW w:type="dxa" w:w="1728"/>
          </w:tcPr>
          <w:p>
            <w:r/>
            <w:r>
              <w:rPr>
                <w:rFonts w:ascii="Calibri" w:hAnsi="Calibri"/>
                <w:b w:val="0"/>
                <w:sz w:val="18"/>
              </w:rPr>
              <w:t>ISO 21149</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TYMC</w:t>
            </w:r>
          </w:p>
        </w:tc>
        <w:tc>
          <w:tcPr>
            <w:tcW w:type="dxa" w:w="1728"/>
          </w:tcPr>
          <w:p>
            <w:r/>
            <w:r>
              <w:rPr>
                <w:rFonts w:ascii="Calibri" w:hAnsi="Calibri"/>
                <w:b w:val="0"/>
                <w:sz w:val="18"/>
              </w:rPr>
              <w:t>ISO 16212</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 aureus</w:t>
            </w:r>
          </w:p>
        </w:tc>
        <w:tc>
          <w:tcPr>
            <w:tcW w:type="dxa" w:w="1728"/>
          </w:tcPr>
          <w:p>
            <w:r/>
            <w:r>
              <w:rPr>
                <w:rFonts w:ascii="Calibri" w:hAnsi="Calibri"/>
                <w:b w:val="0"/>
                <w:sz w:val="18"/>
              </w:rPr>
              <w:t>ISO 22718</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 aeruginosa</w:t>
            </w:r>
          </w:p>
        </w:tc>
        <w:tc>
          <w:tcPr>
            <w:tcW w:type="dxa" w:w="1728"/>
          </w:tcPr>
          <w:p>
            <w:r/>
            <w:r>
              <w:rPr>
                <w:rFonts w:ascii="Calibri" w:hAnsi="Calibri"/>
                <w:b w:val="0"/>
                <w:sz w:val="18"/>
              </w:rPr>
              <w:t>ISO 22717</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E. coli</w:t>
            </w:r>
          </w:p>
        </w:tc>
        <w:tc>
          <w:tcPr>
            <w:tcW w:type="dxa" w:w="1728"/>
          </w:tcPr>
          <w:p>
            <w:r/>
            <w:r>
              <w:rPr>
                <w:rFonts w:ascii="Calibri" w:hAnsi="Calibri"/>
                <w:b w:val="0"/>
                <w:sz w:val="18"/>
              </w:rPr>
              <w:t>ISO 21150</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C. albicans</w:t>
            </w:r>
          </w:p>
        </w:tc>
        <w:tc>
          <w:tcPr>
            <w:tcW w:type="dxa" w:w="1728"/>
          </w:tcPr>
          <w:p>
            <w:r/>
            <w:r>
              <w:rPr>
                <w:rFonts w:ascii="Calibri" w:hAnsi="Calibri"/>
                <w:b w:val="0"/>
                <w:sz w:val="18"/>
              </w:rPr>
              <w:t>ISO 18416</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bl>
    <w:p>
      <w:pPr>
        <w:pStyle w:val="Heading2"/>
      </w:pPr>
      <w:r>
        <w:t>Conclusion</w:t>
      </w:r>
    </w:p>
    <w:p>
      <w:r>
        <w:rPr>
          <w:rFonts w:ascii="Calibri" w:hAnsi="Calibri"/>
          <w:b w:val="0"/>
          <w:sz w:val="18"/>
        </w:rPr>
        <w:t>The above batch has been tested against the product specifications and CONFORMS. This product is released for distribution.</w:t>
      </w:r>
    </w:p>
    <w:p>
      <w:r>
        <w:rPr>
          <w:rFonts w:ascii="Calibri" w:hAnsi="Calibri"/>
          <w:b w:val="0"/>
          <w:i/>
          <w:sz w:val="18"/>
        </w:rPr>
        <w:t>Revision 1 (21 October 2026): microbiological specification corrected to ISO 17516 Category 1 (TAMC and TYMC ≤ 100 CFU/g); the original issue showed the TAMC limit in error. Batch results unchanged. Ref CC-2026-054.</w:t>
      </w:r>
    </w:p>
    <w:p>
      <w:pPr>
        <w:pStyle w:val="Heading2"/>
      </w:pPr>
      <w:r>
        <w:t>Authorised Release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QC Officer 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 / Quality Control</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Email</w:t>
            </w:r>
          </w:p>
        </w:tc>
        <w:tc>
          <w:tcPr>
            <w:tcW w:type="dxa" w:w="4320"/>
          </w:tcPr>
          <w:p>
            <w:r/>
            <w:r>
              <w:rPr>
                <w:rFonts w:ascii="Calibri" w:hAnsi="Calibri"/>
                <w:b w:val="0"/>
                <w:sz w:val="18"/>
              </w:rPr>
              <w:t>admin@cellular-cosmetics.com</w:t>
            </w:r>
          </w:p>
        </w:tc>
      </w:tr>
      <w:tr>
        <w:tc>
          <w:tcPr>
            <w:tcW w:type="dxa" w:w="4320"/>
          </w:tcPr>
          <w:p>
            <w:r/>
            <w:r>
              <w:rPr>
                <w:rFonts w:ascii="Calibri" w:hAnsi="Calibri"/>
                <w:b w:val="0"/>
                <w:sz w:val="18"/>
              </w:rPr>
              <w:t>Date of Release</w:t>
            </w:r>
          </w:p>
        </w:tc>
        <w:tc>
          <w:tcPr>
            <w:tcW w:type="dxa" w:w="4320"/>
          </w:tcPr>
          <w:p>
            <w:r/>
            <w:r>
              <w:rPr>
                <w:rFonts w:ascii="Calibri" w:hAnsi="Calibri"/>
                <w:b w:val="0"/>
                <w:sz w:val="18"/>
              </w:rPr>
              <w:t>11 February 2026</w:t>
            </w:r>
          </w:p>
        </w:tc>
      </w:tr>
    </w:tbl>
    <w:sectPr w:rsidR="00FC693F" w:rsidRPr="0006063C" w:rsidSect="00034616">
      <w:headerReference w:type="default"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