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b w:val="1"/>
          <w:bCs w:val="1"/>
          <w:color w:val="1f3a5f"/>
          <w:sz w:val="44"/>
          <w:szCs w:val="44"/>
          <w:rtl w:val="0"/>
        </w:rPr>
        <w:t xml:space="preserve">CERTIFICATE OF ANALYSIS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>Cellular Industries Pty Ltd t/a Cellular Cosmetics — ABN 73 668 909 984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Copper Peptide (GHK-CU) Serum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20" w:before="360" w:lineRule="auto"/>
        <w:rPr/>
      </w:pPr>
      <w:r w:rsidDel="00000000" w:rsidR="00000000" w:rsidRPr="00000000">
        <w:rPr>
          <w:b w:val="1"/>
          <w:bCs w:val="1"/>
          <w:color w:val="1f3a5f"/>
          <w:sz w:val="32"/>
          <w:szCs w:val="32"/>
          <w:rtl w:val="0"/>
        </w:rPr>
        <w:t xml:space="preserve">Product Identification</w:t>
      </w:r>
      <w:r w:rsidDel="00000000" w:rsidR="00000000" w:rsidRPr="00000000">
        <w:rPr>
          <w:rtl w:val="0"/>
        </w:rPr>
      </w:r>
    </w:p>
    <w:tbl>
      <w:tblPr>
        <w:tblStyle w:val="Table1"/>
        <w:tblW w:w="9972.0" w:type="dxa"/>
        <w:jc w:val="left"/>
        <w:tblInd w:w="-108.0" w:type="dxa"/>
        <w:tblBorders>
          <w:top w:color="4f81bd" w:space="0" w:sz="8" w:val="single"/>
          <w:left w:color="4f81bd" w:space="0" w:sz="8" w:val="single"/>
          <w:bottom w:color="4f81bd" w:space="0" w:sz="8" w:val="single"/>
          <w:right w:color="4f81bd" w:space="0" w:sz="8" w:val="single"/>
          <w:insideH w:color="4f81bd" w:space="0" w:sz="8" w:val="single"/>
          <w:insideV w:color="4f81bd" w:space="0" w:sz="8" w:val="single"/>
        </w:tblBorders>
        <w:tblLayout w:type="fixed"/>
        <w:tblLook w:val="04A0"/>
      </w:tblPr>
      <w:tblGrid>
        <w:gridCol w:w="4986"/>
        <w:gridCol w:w="4986"/>
        <w:tblGridChange w:id="0">
          <w:tblGrid>
            <w:gridCol w:w="4986"/>
            <w:gridCol w:w="4986"/>
          </w:tblGrid>
        </w:tblGridChange>
      </w:tblGrid>
      <w:tr>
        <w:trPr>
          <w:cantSplit w:val="0"/>
          <w:tblHeader w:val="0"/>
        </w:trPr>
        <w:tc>
          <w:tcPr>
            <w:shd w:fill="1f3a5f" w:val="clear"/>
          </w:tcPr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Field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3a5f" w:val="clear"/>
          </w:tcPr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Detail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Product Name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Copper Peptide (GHK-CU) Serum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Product Code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GHKCU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Batch Number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  <w:t>GHK-10IBA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Date of Manufacture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</w:r>
            <w:r w:rsidDel="00000000" w:rsidR="00000000" w:rsidRPr="00000000">
              <w:rPr>
                <w:rtl w:val="0"/>
              </w:rPr>
              <w:t>10 September 2026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Date of Expiry / Best Before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24 months after manufacture date or 12 months after opening, whichever is earlier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Period After Opening (PAO)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12 months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Manufacturer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>Cellular Industries Pty Ltd t/a Cellular Cosmetics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Address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1/7 Activity Crescent, Molendinar, QLD, Australia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8">
      <w:pPr>
        <w:spacing w:after="120" w:before="360" w:lineRule="auto"/>
        <w:rPr/>
      </w:pPr>
      <w:r w:rsidDel="00000000" w:rsidR="00000000" w:rsidRPr="00000000">
        <w:rPr>
          <w:b w:val="1"/>
          <w:bCs w:val="1"/>
          <w:color w:val="1f3a5f"/>
          <w:sz w:val="32"/>
          <w:szCs w:val="32"/>
          <w:rtl w:val="0"/>
        </w:rPr>
        <w:t xml:space="preserve">Specifications &amp; Test Results</w:t>
      </w:r>
      <w:r w:rsidDel="00000000" w:rsidR="00000000" w:rsidRPr="00000000">
        <w:rPr>
          <w:rtl w:val="0"/>
        </w:rPr>
      </w:r>
    </w:p>
    <w:tbl>
      <w:tblPr>
        <w:tblStyle w:val="Table2"/>
        <w:tblW w:w="9970.0" w:type="dxa"/>
        <w:jc w:val="left"/>
        <w:tblInd w:w="-108.0" w:type="dxa"/>
        <w:tblBorders>
          <w:top w:color="4f81bd" w:space="0" w:sz="8" w:val="single"/>
          <w:left w:color="4f81bd" w:space="0" w:sz="8" w:val="single"/>
          <w:bottom w:color="4f81bd" w:space="0" w:sz="8" w:val="single"/>
          <w:right w:color="4f81bd" w:space="0" w:sz="8" w:val="single"/>
          <w:insideH w:color="4f81bd" w:space="0" w:sz="8" w:val="single"/>
          <w:insideV w:color="4f81bd" w:space="0" w:sz="8" w:val="single"/>
        </w:tblBorders>
        <w:tblLayout w:type="fixed"/>
        <w:tblLook w:val="04A0"/>
      </w:tblPr>
      <w:tblGrid>
        <w:gridCol w:w="1994"/>
        <w:gridCol w:w="1994"/>
        <w:gridCol w:w="1994"/>
        <w:gridCol w:w="1994"/>
        <w:gridCol w:w="1994"/>
        <w:tblGridChange w:id="0">
          <w:tblGrid>
            <w:gridCol w:w="1994"/>
            <w:gridCol w:w="1994"/>
            <w:gridCol w:w="1994"/>
            <w:gridCol w:w="1994"/>
            <w:gridCol w:w="1994"/>
          </w:tblGrid>
        </w:tblGridChange>
      </w:tblGrid>
      <w:tr>
        <w:trPr>
          <w:cantSplit w:val="0"/>
          <w:tblHeader w:val="0"/>
        </w:trPr>
        <w:tc>
          <w:tcPr>
            <w:shd w:fill="1f3a5f" w:val="clear"/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Test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3a5f" w:val="clear"/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Method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3a5f" w:val="clear"/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Specification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3a5f" w:val="clear"/>
          </w:tcPr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Result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3a5f" w:val="clear"/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Pass / Fail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Appearance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Visual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Pale serum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</w:r>
            <w:r w:rsidDel="00000000" w:rsidR="00000000" w:rsidRPr="00000000">
              <w:rPr>
                <w:rtl w:val="0"/>
              </w:rPr>
              <w:t>Conforms</w:t>
            </w:r>
          </w:p>
        </w:tc>
        <w:tc>
          <w:tcPr/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  <w:t>Pass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Odour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Olfactory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Faint characteristic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</w:r>
            <w:r w:rsidDel="00000000" w:rsidR="00000000" w:rsidRPr="00000000">
              <w:rPr>
                <w:rtl w:val="0"/>
              </w:rPr>
              <w:t>Conforms</w:t>
            </w:r>
          </w:p>
        </w:tc>
        <w:tc>
          <w:tcPr/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  <w:t>Pass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pH (25 °C)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Calibrated pH meter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</w:r>
            <w:r w:rsidDel="00000000" w:rsidR="00000000" w:rsidRPr="00000000">
              <w:rPr>
                <w:rtl w:val="0"/>
              </w:rPr>
              <w:t>5.8 – 6.2</w:t>
            </w:r>
          </w:p>
        </w:tc>
        <w:tc>
          <w:tcPr/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  <w:t>6.15</w:t>
            </w:r>
          </w:p>
        </w:tc>
        <w:tc>
          <w:tcPr/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  <w:t>Pass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Viscosity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Brookfield / visual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Within standard range for product type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  <w:t>Conforms</w:t>
            </w:r>
          </w:p>
        </w:tc>
        <w:tc>
          <w:tcPr/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  <w:t>Pass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Specific gravity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Hydrometer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0.95 – 1.05 g/mL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  <w:t>Conforms</w:t>
            </w:r>
          </w:p>
        </w:tc>
        <w:tc>
          <w:tcPr/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  <w:t>Pass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Total Aerobic Microbial Count (TAMC)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ISO 21149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</w:r>
            <w:r w:rsidDel="00000000" w:rsidR="00000000" w:rsidRPr="00000000">
              <w:rPr>
                <w:rtl w:val="0"/>
              </w:rPr>
              <w:t>≤ 100 CFU/g</w:t>
            </w:r>
          </w:p>
        </w:tc>
        <w:tc>
          <w:tcPr/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</w:r>
            <w:r w:rsidDel="00000000" w:rsidR="00000000" w:rsidRPr="00000000">
              <w:rPr>
                <w:rtl w:val="0"/>
              </w:rPr>
              <w:t>Conforms</w:t>
            </w:r>
          </w:p>
        </w:tc>
        <w:tc>
          <w:tcPr/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tl w:val="0"/>
              </w:rPr>
              <w:t>Pass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Total Yeast &amp; Mould (TYMC)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ISO 16212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≤ 100 CFU/g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</w:r>
            <w:r w:rsidDel="00000000" w:rsidR="00000000" w:rsidRPr="00000000">
              <w:rPr>
                <w:rtl w:val="0"/>
              </w:rPr>
              <w:t>Conforms</w:t>
            </w:r>
          </w:p>
        </w:tc>
        <w:tc>
          <w:tcPr/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tl w:val="0"/>
              </w:rPr>
              <w:t>Pass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S. aureus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ISO 22718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Absent / 1 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tl w:val="0"/>
              </w:rPr>
              <w:t>Conforms</w:t>
            </w:r>
          </w:p>
        </w:tc>
        <w:tc>
          <w:tcPr/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tl w:val="0"/>
              </w:rPr>
              <w:t>Pass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P. aeruginosa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ISO 22717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Absent / 1 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tl w:val="0"/>
              </w:rPr>
              <w:t>Conforms</w:t>
            </w:r>
          </w:p>
        </w:tc>
        <w:tc>
          <w:tcPr/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tl w:val="0"/>
              </w:rPr>
              <w:t>Pass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E. coli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ISO 21150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Absent / 1 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tl w:val="0"/>
              </w:rPr>
              <w:t>Conforms</w:t>
            </w:r>
          </w:p>
        </w:tc>
        <w:tc>
          <w:tcPr/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tl w:val="0"/>
              </w:rPr>
              <w:t>Pass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C. albicans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ISO 18416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Absent / 1 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tl w:val="0"/>
              </w:rPr>
              <w:t>Conforms</w:t>
            </w:r>
          </w:p>
        </w:tc>
        <w:tc>
          <w:tcPr/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tl w:val="0"/>
              </w:rPr>
              <w:t>Pass</w:t>
            </w:r>
          </w:p>
        </w:tc>
      </w:tr>
    </w:tbl>
    <w:p w:rsidR="00000000" w:rsidDel="00000000" w:rsidP="00000000" w:rsidRDefault="00000000" w:rsidRPr="00000000" w14:paraId="00000055">
      <w:pPr>
        <w:spacing w:after="120" w:before="360" w:lineRule="auto"/>
        <w:rPr/>
      </w:pPr>
      <w:r w:rsidDel="00000000" w:rsidR="00000000" w:rsidRPr="00000000">
        <w:rPr>
          <w:b w:val="1"/>
          <w:bCs w:val="1"/>
          <w:color w:val="1f3a5f"/>
          <w:sz w:val="32"/>
          <w:szCs w:val="32"/>
          <w:rtl w:val="0"/>
        </w:rPr>
        <w:t xml:space="preserve">Conclusion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b w:val="0"/>
          <w:bCs w:val="0"/>
          <w:i w:val="0"/>
          <w:iCs w:val="0"/>
          <w:sz w:val="20"/>
          <w:szCs w:val="20"/>
          <w:rtl w:val="0"/>
        </w:rPr>
        <w:t xml:space="preserve">The above batch has been tested against the product specifications and CONFORMS. This product is released for distribution.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b w:val="0"/>
          <w:bCs w:val="0"/>
          <w:i/>
          <w:iCs w:val="0"/>
          <w:sz w:val="20"/>
          <w:szCs w:val="20"/>
          <w:rtl w:val="0"/>
        </w:rPr>
        <w:t>Revision 1 (21 October 2026): microbiological specification corrected to ISO 17516 Category 1 (TAMC and TYMC ≤ 100 CFU/g); the original issue showed the TAMC limit in error. Batch results unchanged. Ref CC-2026-054.</w:t>
      </w:r>
    </w:p>
    <w:p w:rsidR="00000000" w:rsidDel="00000000" w:rsidP="00000000" w:rsidRDefault="00000000" w:rsidRPr="00000000" w14:paraId="00000057">
      <w:pPr>
        <w:spacing w:after="120" w:before="360" w:lineRule="auto"/>
        <w:rPr/>
      </w:pPr>
      <w:r w:rsidDel="00000000" w:rsidR="00000000" w:rsidRPr="00000000">
        <w:rPr>
          <w:b w:val="1"/>
          <w:bCs w:val="1"/>
          <w:color w:val="1f3a5f"/>
          <w:sz w:val="32"/>
          <w:szCs w:val="32"/>
          <w:rtl w:val="0"/>
        </w:rPr>
        <w:t xml:space="preserve">Authorised Release</w:t>
      </w:r>
      <w:r w:rsidDel="00000000" w:rsidR="00000000" w:rsidRPr="00000000">
        <w:rPr>
          <w:rtl w:val="0"/>
        </w:rPr>
      </w:r>
    </w:p>
    <w:tbl>
      <w:tblPr>
        <w:tblStyle w:val="Table3"/>
        <w:tblW w:w="9972.0" w:type="dxa"/>
        <w:jc w:val="left"/>
        <w:tblInd w:w="-108.0" w:type="dxa"/>
        <w:tblBorders>
          <w:top w:color="4f81bd" w:space="0" w:sz="8" w:val="single"/>
          <w:left w:color="4f81bd" w:space="0" w:sz="8" w:val="single"/>
          <w:bottom w:color="4f81bd" w:space="0" w:sz="8" w:val="single"/>
          <w:right w:color="4f81bd" w:space="0" w:sz="8" w:val="single"/>
          <w:insideH w:color="4f81bd" w:space="0" w:sz="8" w:val="single"/>
          <w:insideV w:color="4f81bd" w:space="0" w:sz="8" w:val="single"/>
        </w:tblBorders>
        <w:tblLayout w:type="fixed"/>
        <w:tblLook w:val="04A0"/>
      </w:tblPr>
      <w:tblGrid>
        <w:gridCol w:w="4986"/>
        <w:gridCol w:w="4986"/>
        <w:tblGridChange w:id="0">
          <w:tblGrid>
            <w:gridCol w:w="4986"/>
            <w:gridCol w:w="4986"/>
          </w:tblGrid>
        </w:tblGridChange>
      </w:tblGrid>
      <w:tr>
        <w:trPr>
          <w:cantSplit w:val="0"/>
          <w:tblHeader w:val="0"/>
        </w:trPr>
        <w:tc>
          <w:tcPr>
            <w:shd w:fill="1f3a5f" w:val="clear"/>
          </w:tcPr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Field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3a5f" w:val="clear"/>
          </w:tcPr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Detail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QC Officer Name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Jonathan Kafritsas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C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Qualifications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Bachelor of Biomedical Science &amp; Medical Research, Griffith University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Position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Safety Assessor / Quality Control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Address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1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1/7 Activity Crescent, Molendinar, QLD, Australia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Email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3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admin@cellular-cosmetics.com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Date of Release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5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</w:r>
            <w:r w:rsidDel="00000000" w:rsidR="00000000" w:rsidRPr="00000000">
              <w:rPr>
                <w:rtl w:val="0"/>
              </w:rPr>
              <w:t>10 September 2026</w:t>
            </w:r>
          </w:p>
        </w:tc>
      </w:tr>
    </w:tbl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sectPr>
      <w:headerReference w:type="default" r:id="rId7"/>
      <w:footerReference w:type="default" r:id="rId8"/>
      <w:headerReference w:type="first" r:id="rId9"/>
      <w:footerReference w:type="first" r:id="rId10"/>
      <w:pgSz w:h="15840" w:w="12240" w:orient="portrait"/>
      <w:pgMar w:bottom="1134" w:top="1134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4f81bd" w:space="0" w:sz="8" w:val="single"/>
          <w:left w:color="4f81bd" w:space="0" w:sz="8" w:val="single"/>
          <w:bottom w:color="4f81bd" w:space="0" w:sz="8" w:val="single"/>
          <w:right w:color="4f81bd" w:space="0" w:sz="8" w:val="single"/>
          <w:insideV w:color="4f81bd" w:space="0" w:sz="8" w:val="single"/>
        </w:tcBorders>
        <w:shd w:fill="d3dfee" w:val="clear"/>
      </w:tcPr>
    </w:tblStylePr>
    <w:tblStylePr w:type="band1Vert">
      <w:tcPr>
        <w:tcBorders>
          <w:top w:color="4f81bd" w:space="0" w:sz="8" w:val="single"/>
          <w:left w:color="4f81bd" w:space="0" w:sz="8" w:val="single"/>
          <w:bottom w:color="4f81bd" w:space="0" w:sz="8" w:val="single"/>
          <w:right w:color="4f81bd" w:space="0" w:sz="8" w:val="single"/>
        </w:tcBorders>
        <w:shd w:fill="d3dfee" w:val="clear"/>
      </w:tcPr>
    </w:tblStylePr>
    <w:tblStylePr w:type="band2Horz">
      <w:tcPr>
        <w:tcBorders>
          <w:top w:color="4f81bd" w:space="0" w:sz="8" w:val="single"/>
          <w:left w:color="4f81bd" w:space="0" w:sz="8" w:val="single"/>
          <w:bottom w:color="4f81bd" w:space="0" w:sz="8" w:val="single"/>
          <w:right w:color="4f81bd" w:space="0" w:sz="8" w:val="single"/>
          <w:insideV w:color="4f81bd" w:space="0" w:sz="8" w:val="single"/>
        </w:tcBorders>
      </w:tcPr>
    </w:tblStylePr>
    <w:tblStylePr w:type="firstCol">
      <w:rPr>
        <w:rFonts w:ascii="Calibri" w:cs="Calibri" w:eastAsia="Calibri" w:hAnsi="Calibri"/>
        <w:b w:val="1"/>
        <w:bCs w:val="1"/>
      </w:rPr>
    </w:tblStylePr>
    <w:tblStylePr w:type="firstRow">
      <w:pPr>
        <w:spacing w:after="0" w:before="0" w:line="240" w:lineRule="auto"/>
      </w:pPr>
      <w:rPr>
        <w:rFonts w:ascii="Calibri" w:cs="Calibri" w:eastAsia="Calibri" w:hAnsi="Calibri"/>
        <w:b w:val="1"/>
        <w:bCs w:val="1"/>
      </w:rPr>
      <w:tcPr>
        <w:tcBorders>
          <w:top w:color="4f81bd" w:space="0" w:sz="8" w:val="single"/>
          <w:left w:color="4f81bd" w:space="0" w:sz="8" w:val="single"/>
          <w:bottom w:color="4f81bd" w:space="0" w:sz="18" w:val="single"/>
          <w:right w:color="4f81bd" w:space="0" w:sz="8" w:val="single"/>
          <w:insideH w:color="000000" w:space="0" w:sz="0" w:val="nil"/>
          <w:insideV w:color="4f81bd" w:space="0" w:sz="8" w:val="single"/>
        </w:tcBorders>
      </w:tcPr>
    </w:tblStylePr>
    <w:tblStylePr w:type="lastCol">
      <w:rPr>
        <w:rFonts w:ascii="Calibri" w:cs="Calibri" w:eastAsia="Calibri" w:hAnsi="Calibri"/>
        <w:b w:val="1"/>
        <w:bCs w:val="1"/>
      </w:rPr>
      <w:tcPr>
        <w:tcBorders>
          <w:top w:color="4f81bd" w:space="0" w:sz="8" w:val="single"/>
          <w:left w:color="4f81bd" w:space="0" w:sz="8" w:val="single"/>
          <w:bottom w:color="4f81bd" w:space="0" w:sz="8" w:val="single"/>
          <w:right w:color="4f81bd" w:space="0" w:sz="8" w:val="single"/>
        </w:tcBorders>
      </w:tcPr>
    </w:tblStylePr>
    <w:tblStylePr w:type="lastRow">
      <w:pPr>
        <w:spacing w:after="0" w:before="0" w:line="240" w:lineRule="auto"/>
      </w:pPr>
      <w:rPr>
        <w:rFonts w:ascii="Calibri" w:cs="Calibri" w:eastAsia="Calibri" w:hAnsi="Calibri"/>
        <w:b w:val="1"/>
        <w:bCs w:val="1"/>
      </w:rPr>
      <w:tcPr>
        <w:tcBorders>
          <w:top w:color="4f81bd" w:space="0" w:sz="6" w:val="single"/>
          <w:left w:color="4f81bd" w:space="0" w:sz="8" w:val="single"/>
          <w:bottom w:color="4f81bd" w:space="0" w:sz="8" w:val="single"/>
          <w:right w:color="4f81bd" w:space="0" w:sz="8" w:val="single"/>
          <w:insideH w:color="000000" w:space="0" w:sz="0" w:val="nil"/>
          <w:insideV w:color="4f81bd" w:space="0" w:sz="8" w:val="single"/>
        </w:tcBorders>
      </w:tcPr>
    </w:tblStyle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4f81bd" w:space="0" w:sz="8" w:val="single"/>
          <w:left w:color="4f81bd" w:space="0" w:sz="8" w:val="single"/>
          <w:bottom w:color="4f81bd" w:space="0" w:sz="8" w:val="single"/>
          <w:right w:color="4f81bd" w:space="0" w:sz="8" w:val="single"/>
          <w:insideV w:color="4f81bd" w:space="0" w:sz="8" w:val="single"/>
        </w:tcBorders>
        <w:shd w:fill="d3dfee" w:val="clear"/>
      </w:tcPr>
    </w:tblStylePr>
    <w:tblStylePr w:type="band1Vert">
      <w:tcPr>
        <w:tcBorders>
          <w:top w:color="4f81bd" w:space="0" w:sz="8" w:val="single"/>
          <w:left w:color="4f81bd" w:space="0" w:sz="8" w:val="single"/>
          <w:bottom w:color="4f81bd" w:space="0" w:sz="8" w:val="single"/>
          <w:right w:color="4f81bd" w:space="0" w:sz="8" w:val="single"/>
        </w:tcBorders>
        <w:shd w:fill="d3dfee" w:val="clear"/>
      </w:tcPr>
    </w:tblStylePr>
    <w:tblStylePr w:type="band2Horz">
      <w:tcPr>
        <w:tcBorders>
          <w:top w:color="4f81bd" w:space="0" w:sz="8" w:val="single"/>
          <w:left w:color="4f81bd" w:space="0" w:sz="8" w:val="single"/>
          <w:bottom w:color="4f81bd" w:space="0" w:sz="8" w:val="single"/>
          <w:right w:color="4f81bd" w:space="0" w:sz="8" w:val="single"/>
          <w:insideV w:color="4f81bd" w:space="0" w:sz="8" w:val="single"/>
        </w:tcBorders>
      </w:tcPr>
    </w:tblStylePr>
    <w:tblStylePr w:type="firstCol">
      <w:rPr>
        <w:rFonts w:ascii="Calibri" w:cs="Calibri" w:eastAsia="Calibri" w:hAnsi="Calibri"/>
        <w:b w:val="1"/>
        <w:bCs w:val="1"/>
      </w:rPr>
    </w:tblStylePr>
    <w:tblStylePr w:type="firstRow">
      <w:pPr>
        <w:spacing w:after="0" w:before="0" w:line="240" w:lineRule="auto"/>
      </w:pPr>
      <w:rPr>
        <w:rFonts w:ascii="Calibri" w:cs="Calibri" w:eastAsia="Calibri" w:hAnsi="Calibri"/>
        <w:b w:val="1"/>
        <w:bCs w:val="1"/>
      </w:rPr>
      <w:tcPr>
        <w:tcBorders>
          <w:top w:color="4f81bd" w:space="0" w:sz="8" w:val="single"/>
          <w:left w:color="4f81bd" w:space="0" w:sz="8" w:val="single"/>
          <w:bottom w:color="4f81bd" w:space="0" w:sz="18" w:val="single"/>
          <w:right w:color="4f81bd" w:space="0" w:sz="8" w:val="single"/>
          <w:insideH w:color="000000" w:space="0" w:sz="0" w:val="nil"/>
          <w:insideV w:color="4f81bd" w:space="0" w:sz="8" w:val="single"/>
        </w:tcBorders>
      </w:tcPr>
    </w:tblStylePr>
    <w:tblStylePr w:type="lastCol">
      <w:rPr>
        <w:rFonts w:ascii="Calibri" w:cs="Calibri" w:eastAsia="Calibri" w:hAnsi="Calibri"/>
        <w:b w:val="1"/>
        <w:bCs w:val="1"/>
      </w:rPr>
      <w:tcPr>
        <w:tcBorders>
          <w:top w:color="4f81bd" w:space="0" w:sz="8" w:val="single"/>
          <w:left w:color="4f81bd" w:space="0" w:sz="8" w:val="single"/>
          <w:bottom w:color="4f81bd" w:space="0" w:sz="8" w:val="single"/>
          <w:right w:color="4f81bd" w:space="0" w:sz="8" w:val="single"/>
        </w:tcBorders>
      </w:tcPr>
    </w:tblStylePr>
    <w:tblStylePr w:type="lastRow">
      <w:pPr>
        <w:spacing w:after="0" w:before="0" w:line="240" w:lineRule="auto"/>
      </w:pPr>
      <w:rPr>
        <w:rFonts w:ascii="Calibri" w:cs="Calibri" w:eastAsia="Calibri" w:hAnsi="Calibri"/>
        <w:b w:val="1"/>
        <w:bCs w:val="1"/>
      </w:rPr>
      <w:tcPr>
        <w:tcBorders>
          <w:top w:color="4f81bd" w:space="0" w:sz="6" w:val="single"/>
          <w:left w:color="4f81bd" w:space="0" w:sz="8" w:val="single"/>
          <w:bottom w:color="4f81bd" w:space="0" w:sz="8" w:val="single"/>
          <w:right w:color="4f81bd" w:space="0" w:sz="8" w:val="single"/>
          <w:insideH w:color="000000" w:space="0" w:sz="0" w:val="nil"/>
          <w:insideV w:color="4f81bd" w:space="0" w:sz="8" w:val="single"/>
        </w:tcBorders>
      </w:tcPr>
    </w:tblStyle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4f81bd" w:space="0" w:sz="8" w:val="single"/>
          <w:left w:color="4f81bd" w:space="0" w:sz="8" w:val="single"/>
          <w:bottom w:color="4f81bd" w:space="0" w:sz="8" w:val="single"/>
          <w:right w:color="4f81bd" w:space="0" w:sz="8" w:val="single"/>
          <w:insideV w:color="4f81bd" w:space="0" w:sz="8" w:val="single"/>
        </w:tcBorders>
        <w:shd w:fill="d3dfee" w:val="clear"/>
      </w:tcPr>
    </w:tblStylePr>
    <w:tblStylePr w:type="band1Vert">
      <w:tcPr>
        <w:tcBorders>
          <w:top w:color="4f81bd" w:space="0" w:sz="8" w:val="single"/>
          <w:left w:color="4f81bd" w:space="0" w:sz="8" w:val="single"/>
          <w:bottom w:color="4f81bd" w:space="0" w:sz="8" w:val="single"/>
          <w:right w:color="4f81bd" w:space="0" w:sz="8" w:val="single"/>
        </w:tcBorders>
        <w:shd w:fill="d3dfee" w:val="clear"/>
      </w:tcPr>
    </w:tblStylePr>
    <w:tblStylePr w:type="band2Horz">
      <w:tcPr>
        <w:tcBorders>
          <w:top w:color="4f81bd" w:space="0" w:sz="8" w:val="single"/>
          <w:left w:color="4f81bd" w:space="0" w:sz="8" w:val="single"/>
          <w:bottom w:color="4f81bd" w:space="0" w:sz="8" w:val="single"/>
          <w:right w:color="4f81bd" w:space="0" w:sz="8" w:val="single"/>
          <w:insideV w:color="4f81bd" w:space="0" w:sz="8" w:val="single"/>
        </w:tcBorders>
      </w:tcPr>
    </w:tblStylePr>
    <w:tblStylePr w:type="firstCol">
      <w:rPr>
        <w:rFonts w:ascii="Calibri" w:cs="Calibri" w:eastAsia="Calibri" w:hAnsi="Calibri"/>
        <w:b w:val="1"/>
        <w:bCs w:val="1"/>
      </w:rPr>
    </w:tblStylePr>
    <w:tblStylePr w:type="firstRow">
      <w:pPr>
        <w:spacing w:after="0" w:before="0" w:line="240" w:lineRule="auto"/>
      </w:pPr>
      <w:rPr>
        <w:rFonts w:ascii="Calibri" w:cs="Calibri" w:eastAsia="Calibri" w:hAnsi="Calibri"/>
        <w:b w:val="1"/>
        <w:bCs w:val="1"/>
      </w:rPr>
      <w:tcPr>
        <w:tcBorders>
          <w:top w:color="4f81bd" w:space="0" w:sz="8" w:val="single"/>
          <w:left w:color="4f81bd" w:space="0" w:sz="8" w:val="single"/>
          <w:bottom w:color="4f81bd" w:space="0" w:sz="18" w:val="single"/>
          <w:right w:color="4f81bd" w:space="0" w:sz="8" w:val="single"/>
          <w:insideH w:color="000000" w:space="0" w:sz="0" w:val="nil"/>
          <w:insideV w:color="4f81bd" w:space="0" w:sz="8" w:val="single"/>
        </w:tcBorders>
      </w:tcPr>
    </w:tblStylePr>
    <w:tblStylePr w:type="lastCol">
      <w:rPr>
        <w:rFonts w:ascii="Calibri" w:cs="Calibri" w:eastAsia="Calibri" w:hAnsi="Calibri"/>
        <w:b w:val="1"/>
        <w:bCs w:val="1"/>
      </w:rPr>
      <w:tcPr>
        <w:tcBorders>
          <w:top w:color="4f81bd" w:space="0" w:sz="8" w:val="single"/>
          <w:left w:color="4f81bd" w:space="0" w:sz="8" w:val="single"/>
          <w:bottom w:color="4f81bd" w:space="0" w:sz="8" w:val="single"/>
          <w:right w:color="4f81bd" w:space="0" w:sz="8" w:val="single"/>
        </w:tcBorders>
      </w:tcPr>
    </w:tblStylePr>
    <w:tblStylePr w:type="lastRow">
      <w:pPr>
        <w:spacing w:after="0" w:before="0" w:line="240" w:lineRule="auto"/>
      </w:pPr>
      <w:rPr>
        <w:rFonts w:ascii="Calibri" w:cs="Calibri" w:eastAsia="Calibri" w:hAnsi="Calibri"/>
        <w:b w:val="1"/>
        <w:bCs w:val="1"/>
      </w:rPr>
      <w:tcPr>
        <w:tcBorders>
          <w:top w:color="4f81bd" w:space="0" w:sz="6" w:val="single"/>
          <w:left w:color="4f81bd" w:space="0" w:sz="8" w:val="single"/>
          <w:bottom w:color="4f81bd" w:space="0" w:sz="8" w:val="single"/>
          <w:right w:color="4f81bd" w:space="0" w:sz="8" w:val="single"/>
          <w:insideH w:color="000000" w:space="0" w:sz="0" w:val="nil"/>
          <w:insideV w:color="4f81bd" w:space="0" w:sz="8" w:val="single"/>
        </w:tcBorders>
      </w:tcPr>
    </w:tblStyle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td6tYg0jbBGpNPvwSQOzep35GQ==">CgMxLjA4AHIhMWxMN3BrblpsMHh4YUdoVVhkU0liSjBJcXVyaTBYSW1K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