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f3a5f"/>
          <w:sz w:val="44"/>
          <w:szCs w:val="44"/>
          <w:rtl w:val="0"/>
        </w:rPr>
        <w:t xml:space="preserve">CERTIFICATE OF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>Cellular Industries Pty Ltd t/a Cellular Cosmetics — ABN 73 668 909 984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Copper Peptide (GHK-CU) Serum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360" w:lineRule="auto"/>
        <w:rPr/>
      </w:pPr>
      <w:r w:rsidDel="00000000" w:rsidR="00000000" w:rsidRPr="00000000">
        <w:rPr>
          <w:b w:val="1"/>
          <w:bCs w:val="1"/>
          <w:color w:val="1f3a5f"/>
          <w:sz w:val="32"/>
          <w:szCs w:val="32"/>
          <w:rtl w:val="0"/>
        </w:rPr>
        <w:t xml:space="preserve">Product Identification</w:t>
      </w:r>
      <w:r w:rsidDel="00000000" w:rsidR="00000000" w:rsidRPr="00000000">
        <w:rPr>
          <w:rtl w:val="0"/>
        </w:rPr>
      </w:r>
    </w:p>
    <w:tbl>
      <w:tblPr>
        <w:tblStyle w:val="Table1"/>
        <w:tblW w:w="9972.0" w:type="dxa"/>
        <w:jc w:val="left"/>
        <w:tblInd w:w="-108.0" w:type="dxa"/>
        <w:tbl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H w:color="4f81bd" w:space="0" w:sz="8" w:val="single"/>
          <w:insideV w:color="4f81bd" w:space="0" w:sz="8" w:val="single"/>
        </w:tblBorders>
        <w:tblLayout w:type="fixed"/>
        <w:tblLook w:val="04A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>
            <w:shd w:fill="1f3a5f" w:val="clea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Detail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Product 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Copper Peptide (GHK-CU) Serum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Product Code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GHKCU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Batch Number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>GHK-10IBA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Date of Manufacture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10 September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Date of Expiry / Best Before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 months after manufacture date or 12 months after opening, whichever is earlier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Period After Opening (PAO)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 months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Manufacturer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>Cellular Industries Pty Ltd t/a Cellular Cosmetics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Address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1/7 Activity Crescent, Molendinar, QLD, Australia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120" w:before="360" w:lineRule="auto"/>
        <w:rPr/>
      </w:pPr>
      <w:r w:rsidDel="00000000" w:rsidR="00000000" w:rsidRPr="00000000">
        <w:rPr>
          <w:b w:val="1"/>
          <w:bCs w:val="1"/>
          <w:color w:val="1f3a5f"/>
          <w:sz w:val="32"/>
          <w:szCs w:val="32"/>
          <w:rtl w:val="0"/>
        </w:rPr>
        <w:t xml:space="preserve">Specifications &amp; Test Results</w:t>
      </w:r>
      <w:r w:rsidDel="00000000" w:rsidR="00000000" w:rsidRPr="00000000">
        <w:rPr>
          <w:rtl w:val="0"/>
        </w:rPr>
      </w:r>
    </w:p>
    <w:tbl>
      <w:tblPr>
        <w:tblStyle w:val="Table2"/>
        <w:tblW w:w="9970.0" w:type="dxa"/>
        <w:jc w:val="left"/>
        <w:tblInd w:w="-108.0" w:type="dxa"/>
        <w:tbl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H w:color="4f81bd" w:space="0" w:sz="8" w:val="single"/>
          <w:insideV w:color="4f81bd" w:space="0" w:sz="8" w:val="single"/>
        </w:tblBorders>
        <w:tblLayout w:type="fixed"/>
        <w:tblLook w:val="04A0"/>
      </w:tblPr>
      <w:tblGrid>
        <w:gridCol w:w="1994"/>
        <w:gridCol w:w="1994"/>
        <w:gridCol w:w="1994"/>
        <w:gridCol w:w="1994"/>
        <w:gridCol w:w="1994"/>
        <w:tblGridChange w:id="0">
          <w:tblGrid>
            <w:gridCol w:w="1994"/>
            <w:gridCol w:w="1994"/>
            <w:gridCol w:w="1994"/>
            <w:gridCol w:w="1994"/>
            <w:gridCol w:w="1994"/>
          </w:tblGrid>
        </w:tblGridChange>
      </w:tblGrid>
      <w:tr>
        <w:trPr>
          <w:cantSplit w:val="0"/>
          <w:tblHeader w:val="0"/>
        </w:trPr>
        <w:tc>
          <w:tcPr>
            <w:shd w:fill="1f3a5f" w:val="clea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Method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Specification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Pass / Fail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Appearance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Visual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Pale serum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Odour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Olfactory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Faint characteristic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 (25 °C)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Calibrated pH meter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5.8 – 6.2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>6.15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Viscosity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Brookfield / visual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Within standard range for product type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Specific gravity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Hydrometer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0.95 – 1.05 g/mL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Total Aerobic Microbial Count (TAMC)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21149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≤ 1,000 CFU/g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Total Yeast &amp; Mould (TYMC)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16212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≤ 100 CFU/g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S. aureus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22718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Absent / 1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P. aeruginosa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22717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Absent / 1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E. coli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21150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Absent / 1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C. albicans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18416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Absent / 1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</w:tbl>
    <w:p w:rsidR="00000000" w:rsidDel="00000000" w:rsidP="00000000" w:rsidRDefault="00000000" w:rsidRPr="00000000" w14:paraId="00000055">
      <w:pPr>
        <w:spacing w:after="120" w:before="360" w:lineRule="auto"/>
        <w:rPr/>
      </w:pPr>
      <w:r w:rsidDel="00000000" w:rsidR="00000000" w:rsidRPr="00000000">
        <w:rPr>
          <w:b w:val="1"/>
          <w:bCs w:val="1"/>
          <w:color w:val="1f3a5f"/>
          <w:sz w:val="32"/>
          <w:szCs w:val="32"/>
          <w:rtl w:val="0"/>
        </w:rPr>
        <w:t xml:space="preserve">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The above batch has been tested against the product specifications and CONFORMS. This product is released for distribution.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360" w:lineRule="auto"/>
        <w:rPr/>
      </w:pPr>
      <w:r w:rsidDel="00000000" w:rsidR="00000000" w:rsidRPr="00000000">
        <w:rPr>
          <w:b w:val="1"/>
          <w:bCs w:val="1"/>
          <w:color w:val="1f3a5f"/>
          <w:sz w:val="32"/>
          <w:szCs w:val="32"/>
          <w:rtl w:val="0"/>
        </w:rPr>
        <w:t xml:space="preserve">Authorised Release</w:t>
      </w:r>
      <w:r w:rsidDel="00000000" w:rsidR="00000000" w:rsidRPr="00000000">
        <w:rPr>
          <w:rtl w:val="0"/>
        </w:rPr>
      </w:r>
    </w:p>
    <w:tbl>
      <w:tblPr>
        <w:tblStyle w:val="Table3"/>
        <w:tblW w:w="9972.0" w:type="dxa"/>
        <w:jc w:val="left"/>
        <w:tblInd w:w="-108.0" w:type="dxa"/>
        <w:tbl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H w:color="4f81bd" w:space="0" w:sz="8" w:val="single"/>
          <w:insideV w:color="4f81bd" w:space="0" w:sz="8" w:val="single"/>
        </w:tblBorders>
        <w:tblLayout w:type="fixed"/>
        <w:tblLook w:val="04A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>
            <w:shd w:fill="1f3a5f" w:val="clea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Detail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QC Officer 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Jonathan Kafritsas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Qualifications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Bachelor of Biomedical Science &amp; Medical Research, Griffith University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Safety Assessor / Quality Control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Address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1/7 Activity Crescent, Molendinar, QLD, Australia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admin@cellular-cosmetics.com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Date of Release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10 September 2026</w:t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w:type="default" r:id="rId7"/>
      <w:footerReference w:type="default" r:id="rId8"/>
      <w:headerReference w:type="first" r:id="rId9"/>
      <w:footerReference w:type="first" r:id="rId10"/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  <w:shd w:fill="d3dfee" w:val="clear"/>
      </w:tcPr>
    </w:tblStylePr>
    <w:tblStylePr w:type="band1Vert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  <w:shd w:fill="d3dfee" w:val="clear"/>
      </w:tcPr>
    </w:tblStylePr>
    <w:tblStylePr w:type="band2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</w:tcPr>
    </w:tblStylePr>
    <w:tblStylePr w:type="firstCol">
      <w:rPr>
        <w:rFonts w:ascii="Calibri" w:cs="Calibri" w:eastAsia="Calibri" w:hAnsi="Calibri"/>
        <w:b w:val="1"/>
        <w:bCs w:val="1"/>
      </w:rPr>
    </w:tblStylePr>
    <w:tblStylePr w:type="fir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  <w:tblStylePr w:type="lastCol"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6" w:val="single"/>
          <w:left w:color="4f81bd" w:space="0" w:sz="8" w:val="single"/>
          <w:bottom w:color="4f81bd" w:space="0" w:sz="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  <w:shd w:fill="d3dfee" w:val="clear"/>
      </w:tcPr>
    </w:tblStylePr>
    <w:tblStylePr w:type="band1Vert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  <w:shd w:fill="d3dfee" w:val="clear"/>
      </w:tcPr>
    </w:tblStylePr>
    <w:tblStylePr w:type="band2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</w:tcPr>
    </w:tblStylePr>
    <w:tblStylePr w:type="firstCol">
      <w:rPr>
        <w:rFonts w:ascii="Calibri" w:cs="Calibri" w:eastAsia="Calibri" w:hAnsi="Calibri"/>
        <w:b w:val="1"/>
        <w:bCs w:val="1"/>
      </w:rPr>
    </w:tblStylePr>
    <w:tblStylePr w:type="fir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  <w:tblStylePr w:type="lastCol"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6" w:val="single"/>
          <w:left w:color="4f81bd" w:space="0" w:sz="8" w:val="single"/>
          <w:bottom w:color="4f81bd" w:space="0" w:sz="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  <w:shd w:fill="d3dfee" w:val="clear"/>
      </w:tcPr>
    </w:tblStylePr>
    <w:tblStylePr w:type="band1Vert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  <w:shd w:fill="d3dfee" w:val="clear"/>
      </w:tcPr>
    </w:tblStylePr>
    <w:tblStylePr w:type="band2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</w:tcPr>
    </w:tblStylePr>
    <w:tblStylePr w:type="firstCol">
      <w:rPr>
        <w:rFonts w:ascii="Calibri" w:cs="Calibri" w:eastAsia="Calibri" w:hAnsi="Calibri"/>
        <w:b w:val="1"/>
        <w:bCs w:val="1"/>
      </w:rPr>
    </w:tblStylePr>
    <w:tblStylePr w:type="fir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  <w:tblStylePr w:type="lastCol"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6" w:val="single"/>
          <w:left w:color="4f81bd" w:space="0" w:sz="8" w:val="single"/>
          <w:bottom w:color="4f81bd" w:space="0" w:sz="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td6tYg0jbBGpNPvwSQOzep35GQ==">CgMxLjA4AHIhMWxMN3BrblpsMHh4YUdoVVhkU0liSjBJcXVyaTBYSW1K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