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ANALYSIS</w:t>
      </w:r>
    </w:p>
    <w:p>
      <w:pPr>
        <w:jc w:val="center"/>
      </w:pPr>
      <w:r>
        <w:rPr>
          <w:rFonts w:ascii="Calibri" w:hAnsi="Calibri"/>
          <w:b w:val="0"/>
          <w:sz w:val="20"/>
        </w:rPr>
        <w:t>Cellular Industries Pty Ltd t/a Cellular Cosmetics — ABN 73 668 909 984</w:t>
      </w:r>
    </w:p>
    <w:p>
      <w:pPr>
        <w:jc w:val="center"/>
      </w:pPr>
      <w:r>
        <w:rPr>
          <w:rFonts w:ascii="Calibri" w:hAnsi="Calibri"/>
          <w:b/>
          <w:sz w:val="28"/>
        </w:rPr>
        <w:t>AHA Fruit Acid Scrub</w:t>
      </w:r>
    </w:p>
    <w:p>
      <w:pPr>
        <w:pStyle w:val="Heading2"/>
      </w:pPr>
      <w:r>
        <w:t>Product Identification</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AHA Fruit Acid Scrub</w:t>
            </w:r>
          </w:p>
        </w:tc>
      </w:tr>
      <w:tr>
        <w:tc>
          <w:tcPr>
            <w:tcW w:type="dxa" w:w="4320"/>
          </w:tcPr>
          <w:p>
            <w:r/>
            <w:r>
              <w:rPr>
                <w:rFonts w:ascii="Calibri" w:hAnsi="Calibri"/>
                <w:b w:val="0"/>
                <w:sz w:val="18"/>
              </w:rPr>
              <w:t>Product Code</w:t>
            </w:r>
          </w:p>
        </w:tc>
        <w:tc>
          <w:tcPr>
            <w:tcW w:type="dxa" w:w="4320"/>
          </w:tcPr>
          <w:p>
            <w:r/>
            <w:r>
              <w:rPr>
                <w:rFonts w:ascii="Calibri" w:hAnsi="Calibri"/>
                <w:b w:val="0"/>
                <w:sz w:val="18"/>
              </w:rPr>
              <w:t>AHSB</w:t>
            </w:r>
          </w:p>
        </w:tc>
      </w:tr>
      <w:tr>
        <w:tc>
          <w:tcPr>
            <w:tcW w:type="dxa" w:w="4320"/>
          </w:tcPr>
          <w:p>
            <w:r/>
            <w:r>
              <w:rPr>
                <w:rFonts w:ascii="Calibri" w:hAnsi="Calibri"/>
                <w:b w:val="0"/>
                <w:sz w:val="18"/>
              </w:rPr>
              <w:t>Batch Number</w:t>
            </w:r>
          </w:p>
        </w:tc>
        <w:tc>
          <w:tcPr>
            <w:tcW w:type="dxa" w:w="4320"/>
          </w:tcPr>
          <w:p>
            <w:r/>
            <w:r>
              <w:rPr>
                <w:rFonts w:ascii="Calibri" w:hAnsi="Calibri"/>
                <w:b w:val="0"/>
                <w:sz w:val="18"/>
              </w:rPr>
              <w:t>AHSB-7JBA</w:t>
            </w:r>
          </w:p>
        </w:tc>
      </w:tr>
      <w:tr>
        <w:tc>
          <w:tcPr>
            <w:tcW w:type="dxa" w:w="4320"/>
          </w:tcPr>
          <w:p>
            <w:r/>
            <w:r>
              <w:rPr>
                <w:rFonts w:ascii="Calibri" w:hAnsi="Calibri"/>
                <w:b w:val="0"/>
                <w:sz w:val="18"/>
              </w:rPr>
              <w:t>Date of Manufacture</w:t>
            </w:r>
          </w:p>
        </w:tc>
        <w:tc>
          <w:tcPr>
            <w:tcW w:type="dxa" w:w="4320"/>
          </w:tcPr>
          <w:p>
            <w:r/>
            <w:r>
              <w:rPr>
                <w:rFonts w:ascii="Calibri" w:hAnsi="Calibri"/>
                <w:b w:val="0"/>
                <w:sz w:val="18"/>
              </w:rPr>
              <w:t>7 October 2026</w:t>
            </w:r>
          </w:p>
        </w:tc>
      </w:tr>
      <w:tr>
        <w:tc>
          <w:tcPr>
            <w:tcW w:type="dxa" w:w="4320"/>
          </w:tcPr>
          <w:p>
            <w:r/>
            <w:r>
              <w:rPr>
                <w:rFonts w:ascii="Calibri" w:hAnsi="Calibri"/>
                <w:b w:val="0"/>
                <w:sz w:val="18"/>
              </w:rPr>
              <w:t>Date of Expiry / Best Before</w:t>
            </w:r>
          </w:p>
        </w:tc>
        <w:tc>
          <w:tcPr>
            <w:tcW w:type="dxa" w:w="4320"/>
          </w:tcPr>
          <w:p>
            <w:r/>
            <w:r>
              <w:rPr>
                <w:rFonts w:ascii="Calibri" w:hAnsi="Calibri"/>
                <w:b w:val="0"/>
                <w:sz w:val="18"/>
              </w:rPr>
              <w:t>24 months after manufacture date or 12 months after opening, whichever is sooner</w:t>
            </w:r>
          </w:p>
        </w:tc>
      </w:tr>
      <w:tr>
        <w:tc>
          <w:tcPr>
            <w:tcW w:type="dxa" w:w="4320"/>
          </w:tcPr>
          <w:p>
            <w:r/>
            <w:r>
              <w:rPr>
                <w:rFonts w:ascii="Calibri" w:hAnsi="Calibri"/>
                <w:b w:val="0"/>
                <w:sz w:val="18"/>
              </w:rPr>
              <w:t>Period After Opening (PAO)</w:t>
            </w:r>
          </w:p>
        </w:tc>
        <w:tc>
          <w:tcPr>
            <w:tcW w:type="dxa" w:w="4320"/>
          </w:tcPr>
          <w:p>
            <w:r/>
            <w:r>
              <w:rPr>
                <w:rFonts w:ascii="Calibri" w:hAnsi="Calibri"/>
                <w:b w:val="0"/>
                <w:sz w:val="18"/>
              </w:rPr>
              <w:t>12 months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Industries Pty Ltd t/a Cellular Cosmetics</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bl>
    <w:p>
      <w:r>
        <w:rPr>
          <w:rFonts w:ascii="Calibri" w:hAnsi="Calibri"/>
          <w:b/>
          <w:sz w:val="18"/>
        </w:rPr>
        <w:t>INCI Declaration:</w:t>
      </w:r>
    </w:p>
    <w:p>
      <w:r>
        <w:rPr>
          <w:rFonts w:ascii="Calibri" w:hAnsi="Calibri"/>
          <w:b w:val="0"/>
          <w:sz w:val="18"/>
        </w:rPr>
        <w:t>Aqua (Water), Glycerin, Pumice Stone, Vaccinium Myrtillus Fruit Extract, Saccharum Officinarum Extract, Citrus Aurantium Dulcis Fruit Extract, Citrus Limon Fruit Extract, Acer Saccharum Sap Extract, Helianthus Annuus Seed Oil, Cetearyl Alcohol, Caprylic/Capric Triglyceride, Butyrospermum Parkii Butter, Tocopherol (Natural Vitamin E), Phenoxyethanol, Ceteareth-20, Stearic Acid, Caprylyl Glycol, Carbomer, Dimethicone, Mentha Arvensis Leaf Oil, Sodium Hydroxide, Parfum</w:t>
      </w:r>
    </w:p>
    <w:p>
      <w:pPr>
        <w:pStyle w:val="Heading2"/>
      </w:pPr>
      <w:r>
        <w:t>Specifications &amp; Test Results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rFonts w:ascii="Calibri" w:hAnsi="Calibri"/>
                <w:b/>
                <w:sz w:val="18"/>
              </w:rPr>
              <w:t>Test</w:t>
            </w:r>
          </w:p>
        </w:tc>
        <w:tc>
          <w:tcPr>
            <w:tcW w:type="dxa" w:w="1728"/>
          </w:tcPr>
          <w:p>
            <w:r/>
            <w:r>
              <w:rPr>
                <w:rFonts w:ascii="Calibri" w:hAnsi="Calibri"/>
                <w:b/>
                <w:sz w:val="18"/>
              </w:rPr>
              <w:t>Method</w:t>
            </w:r>
          </w:p>
        </w:tc>
        <w:tc>
          <w:tcPr>
            <w:tcW w:type="dxa" w:w="1728"/>
          </w:tcPr>
          <w:p>
            <w:r/>
            <w:r>
              <w:rPr>
                <w:rFonts w:ascii="Calibri" w:hAnsi="Calibri"/>
                <w:b/>
                <w:sz w:val="18"/>
              </w:rPr>
              <w:t>Specification</w:t>
            </w:r>
          </w:p>
        </w:tc>
        <w:tc>
          <w:tcPr>
            <w:tcW w:type="dxa" w:w="1728"/>
          </w:tcPr>
          <w:p>
            <w:r/>
            <w:r>
              <w:rPr>
                <w:rFonts w:ascii="Calibri" w:hAnsi="Calibri"/>
                <w:b/>
                <w:sz w:val="18"/>
              </w:rPr>
              <w:t>Result</w:t>
            </w:r>
          </w:p>
        </w:tc>
        <w:tc>
          <w:tcPr>
            <w:tcW w:type="dxa" w:w="1728"/>
          </w:tcPr>
          <w:p>
            <w:r/>
            <w:r>
              <w:rPr>
                <w:rFonts w:ascii="Calibri" w:hAnsi="Calibri"/>
                <w:b/>
                <w:sz w:val="18"/>
              </w:rPr>
              <w:t>Pass / Fail</w:t>
            </w:r>
          </w:p>
        </w:tc>
      </w:tr>
      <w:tr>
        <w:tc>
          <w:tcPr>
            <w:tcW w:type="dxa" w:w="1728"/>
          </w:tcPr>
          <w:p>
            <w:r/>
            <w:r>
              <w:rPr>
                <w:rFonts w:ascii="Calibri" w:hAnsi="Calibri"/>
                <w:b w:val="0"/>
                <w:sz w:val="18"/>
              </w:rPr>
              <w:t>Appearance</w:t>
            </w:r>
          </w:p>
        </w:tc>
        <w:tc>
          <w:tcPr>
            <w:tcW w:type="dxa" w:w="1728"/>
          </w:tcPr>
          <w:p>
            <w:r/>
            <w:r>
              <w:rPr>
                <w:rFonts w:ascii="Calibri" w:hAnsi="Calibri"/>
                <w:b w:val="0"/>
                <w:sz w:val="18"/>
              </w:rPr>
              <w:t>Visual</w:t>
            </w:r>
          </w:p>
        </w:tc>
        <w:tc>
          <w:tcPr>
            <w:tcW w:type="dxa" w:w="1728"/>
          </w:tcPr>
          <w:p>
            <w:r/>
            <w:r>
              <w:rPr>
                <w:rFonts w:ascii="Calibri" w:hAnsi="Calibri"/>
                <w:b w:val="0"/>
                <w:sz w:val="18"/>
              </w:rPr>
              <w:t>White to off-white with granules</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Odour</w:t>
            </w:r>
          </w:p>
        </w:tc>
        <w:tc>
          <w:tcPr>
            <w:tcW w:type="dxa" w:w="1728"/>
          </w:tcPr>
          <w:p>
            <w:r/>
            <w:r>
              <w:rPr>
                <w:rFonts w:ascii="Calibri" w:hAnsi="Calibri"/>
                <w:b w:val="0"/>
                <w:sz w:val="18"/>
              </w:rPr>
              <w:t>Olfactory</w:t>
            </w:r>
          </w:p>
        </w:tc>
        <w:tc>
          <w:tcPr>
            <w:tcW w:type="dxa" w:w="1728"/>
          </w:tcPr>
          <w:p>
            <w:r/>
            <w:r>
              <w:rPr>
                <w:rFonts w:ascii="Calibri" w:hAnsi="Calibri"/>
                <w:b w:val="0"/>
                <w:sz w:val="18"/>
              </w:rPr>
              <w:t>Fresh mint / fruity</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pH (25 °C)</w:t>
            </w:r>
          </w:p>
        </w:tc>
        <w:tc>
          <w:tcPr>
            <w:tcW w:type="dxa" w:w="1728"/>
          </w:tcPr>
          <w:p>
            <w:r/>
            <w:r>
              <w:rPr>
                <w:rFonts w:ascii="Calibri" w:hAnsi="Calibri"/>
                <w:b w:val="0"/>
                <w:sz w:val="18"/>
              </w:rPr>
              <w:t>Calibrated pH meter</w:t>
            </w:r>
          </w:p>
        </w:tc>
        <w:tc>
          <w:tcPr>
            <w:tcW w:type="dxa" w:w="1728"/>
          </w:tcPr>
          <w:p>
            <w:r/>
            <w:r>
              <w:rPr>
                <w:rFonts w:ascii="Calibri" w:hAnsi="Calibri"/>
                <w:b w:val="0"/>
                <w:sz w:val="18"/>
              </w:rPr>
              <w:t>3.5 – 5.0</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Viscosity</w:t>
            </w:r>
          </w:p>
        </w:tc>
        <w:tc>
          <w:tcPr>
            <w:tcW w:type="dxa" w:w="1728"/>
          </w:tcPr>
          <w:p>
            <w:r/>
            <w:r>
              <w:rPr>
                <w:rFonts w:ascii="Calibri" w:hAnsi="Calibri"/>
                <w:b w:val="0"/>
                <w:sz w:val="18"/>
              </w:rPr>
              <w:t>Brookfield / visual</w:t>
            </w:r>
          </w:p>
        </w:tc>
        <w:tc>
          <w:tcPr>
            <w:tcW w:type="dxa" w:w="1728"/>
          </w:tcPr>
          <w:p>
            <w:r/>
            <w:r>
              <w:rPr>
                <w:rFonts w:ascii="Calibri" w:hAnsi="Calibri"/>
                <w:b w:val="0"/>
                <w:sz w:val="18"/>
              </w:rPr>
              <w:t>Within standard 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Specific gravity</w:t>
            </w:r>
          </w:p>
        </w:tc>
        <w:tc>
          <w:tcPr>
            <w:tcW w:type="dxa" w:w="1728"/>
          </w:tcPr>
          <w:p>
            <w:r/>
            <w:r>
              <w:rPr>
                <w:rFonts w:ascii="Calibri" w:hAnsi="Calibri"/>
                <w:b w:val="0"/>
                <w:sz w:val="18"/>
              </w:rPr>
              <w:t>Hydrometer</w:t>
            </w:r>
          </w:p>
        </w:tc>
        <w:tc>
          <w:tcPr>
            <w:tcW w:type="dxa" w:w="1728"/>
          </w:tcPr>
          <w:p>
            <w:r/>
            <w:r>
              <w:rPr>
                <w:rFonts w:ascii="Calibri" w:hAnsi="Calibri"/>
                <w:b w:val="0"/>
                <w:sz w:val="18"/>
              </w:rPr>
              <w:t>0.95 – 1.10 g/mL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TAMC</w:t>
            </w:r>
          </w:p>
        </w:tc>
        <w:tc>
          <w:tcPr>
            <w:tcW w:type="dxa" w:w="1728"/>
          </w:tcPr>
          <w:p>
            <w:r/>
            <w:r>
              <w:rPr>
                <w:rFonts w:ascii="Calibri" w:hAnsi="Calibri"/>
                <w:b w:val="0"/>
                <w:sz w:val="18"/>
              </w:rPr>
              <w:t>ISO 21149</w:t>
            </w:r>
          </w:p>
        </w:tc>
        <w:tc>
          <w:tcPr>
            <w:tcW w:type="dxa" w:w="1728"/>
          </w:tcPr>
          <w:p>
            <w:r/>
            <w:r>
              <w:rPr>
                <w:rFonts w:ascii="Calibri" w:hAnsi="Calibri"/>
                <w:b w:val="0"/>
                <w:sz w:val="18"/>
              </w:rPr>
              <w:t>≤ 1,000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TYMC</w:t>
            </w:r>
          </w:p>
        </w:tc>
        <w:tc>
          <w:tcPr>
            <w:tcW w:type="dxa" w:w="1728"/>
          </w:tcPr>
          <w:p>
            <w:r/>
            <w:r>
              <w:rPr>
                <w:rFonts w:ascii="Calibri" w:hAnsi="Calibri"/>
                <w:b w:val="0"/>
                <w:sz w:val="18"/>
              </w:rPr>
              <w:t>ISO 16212</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 aureus</w:t>
            </w:r>
          </w:p>
        </w:tc>
        <w:tc>
          <w:tcPr>
            <w:tcW w:type="dxa" w:w="1728"/>
          </w:tcPr>
          <w:p>
            <w:r/>
            <w:r>
              <w:rPr>
                <w:rFonts w:ascii="Calibri" w:hAnsi="Calibri"/>
                <w:b w:val="0"/>
                <w:sz w:val="18"/>
              </w:rPr>
              <w:t>ISO 22718</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 aeruginosa</w:t>
            </w:r>
          </w:p>
        </w:tc>
        <w:tc>
          <w:tcPr>
            <w:tcW w:type="dxa" w:w="1728"/>
          </w:tcPr>
          <w:p>
            <w:r/>
            <w:r>
              <w:rPr>
                <w:rFonts w:ascii="Calibri" w:hAnsi="Calibri"/>
                <w:b w:val="0"/>
                <w:sz w:val="18"/>
              </w:rPr>
              <w:t>ISO 22717</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E. coli</w:t>
            </w:r>
          </w:p>
        </w:tc>
        <w:tc>
          <w:tcPr>
            <w:tcW w:type="dxa" w:w="1728"/>
          </w:tcPr>
          <w:p>
            <w:r/>
            <w:r>
              <w:rPr>
                <w:rFonts w:ascii="Calibri" w:hAnsi="Calibri"/>
                <w:b w:val="0"/>
                <w:sz w:val="18"/>
              </w:rPr>
              <w:t>ISO 21150</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C. albicans</w:t>
            </w:r>
          </w:p>
        </w:tc>
        <w:tc>
          <w:tcPr>
            <w:tcW w:type="dxa" w:w="1728"/>
          </w:tcPr>
          <w:p>
            <w:r/>
            <w:r>
              <w:rPr>
                <w:rFonts w:ascii="Calibri" w:hAnsi="Calibri"/>
                <w:b w:val="0"/>
                <w:sz w:val="18"/>
              </w:rPr>
              <w:t>ISO 18416</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bl>
    <w:p>
      <w:pPr>
        <w:pStyle w:val="Heading2"/>
      </w:pPr>
      <w:r>
        <w:t>Conclusion</w:t>
      </w:r>
    </w:p>
    <w:p>
      <w:r>
        <w:rPr>
          <w:rFonts w:ascii="Calibri" w:hAnsi="Calibri"/>
          <w:b w:val="0"/>
          <w:sz w:val="18"/>
        </w:rPr>
        <w:t>The above batch has been tested against the product specifications and CONFORMS. This product is released for distribution.</w:t>
      </w:r>
    </w:p>
    <w:p>
      <w:pPr>
        <w:pStyle w:val="Heading2"/>
      </w:pPr>
      <w:r>
        <w:t>Authorised Release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QC Officer 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 / Quality Control</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Email</w:t>
            </w:r>
          </w:p>
        </w:tc>
        <w:tc>
          <w:tcPr>
            <w:tcW w:type="dxa" w:w="4320"/>
          </w:tcPr>
          <w:p>
            <w:r/>
            <w:r>
              <w:rPr>
                <w:rFonts w:ascii="Calibri" w:hAnsi="Calibri"/>
                <w:b w:val="0"/>
                <w:sz w:val="18"/>
              </w:rPr>
              <w:t>admin@cellular-cosmetics.com</w:t>
            </w:r>
          </w:p>
        </w:tc>
      </w:tr>
      <w:tr>
        <w:tc>
          <w:tcPr>
            <w:tcW w:type="dxa" w:w="4320"/>
          </w:tcPr>
          <w:p>
            <w:r/>
            <w:r>
              <w:rPr>
                <w:rFonts w:ascii="Calibri" w:hAnsi="Calibri"/>
                <w:b w:val="0"/>
                <w:sz w:val="18"/>
              </w:rPr>
              <w:t>Date of Release</w:t>
            </w:r>
          </w:p>
        </w:tc>
        <w:tc>
          <w:tcPr>
            <w:tcW w:type="dxa" w:w="4320"/>
          </w:tcPr>
          <w:p>
            <w:r/>
            <w:r>
              <w:rPr>
                <w:rFonts w:ascii="Calibri" w:hAnsi="Calibri"/>
                <w:b w:val="0"/>
                <w:sz w:val="18"/>
              </w:rPr>
              <w:t>7 October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