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Australian Superfruit Serum</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Australian Superfruit Serum</w:t>
            </w:r>
          </w:p>
        </w:tc>
      </w:tr>
      <w:tr>
        <w:tc>
          <w:tcPr>
            <w:tcW w:type="dxa" w:w="4320"/>
          </w:tcPr>
          <w:p>
            <w:r/>
            <w:r>
              <w:rPr>
                <w:rFonts w:ascii="Calibri" w:hAnsi="Calibri"/>
                <w:b w:val="0"/>
                <w:sz w:val="18"/>
              </w:rPr>
              <w:t>Product Code</w:t>
            </w:r>
          </w:p>
        </w:tc>
        <w:tc>
          <w:tcPr>
            <w:tcW w:type="dxa" w:w="4320"/>
          </w:tcPr>
          <w:p>
            <w:r/>
            <w:r>
              <w:rPr>
                <w:rFonts w:ascii="Calibri" w:hAnsi="Calibri"/>
                <w:b w:val="0"/>
                <w:sz w:val="18"/>
              </w:rPr>
              <w:t>ASSF</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COC-ASSF-001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 (Ph. Eur. 5.1.3)</w:t>
            </w:r>
          </w:p>
        </w:tc>
        <w:tc>
          <w:tcPr>
            <w:tcW w:type="dxa" w:w="4320"/>
          </w:tcPr>
          <w:p>
            <w:r/>
            <w:r>
              <w:rPr>
                <w:rFonts w:ascii="Calibri" w:hAnsi="Calibri"/>
                <w:b w:val="0"/>
                <w:sz w:val="18"/>
              </w:rPr>
              <w:t>Pass — Criteria A</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Benzyl Benzoate, Cinnamal, Limonene</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Aqua, Terminalia Ferdinandiana Fruit Extract, Ricinus Communis (Castor) Seed Oil, Glycerin, Dimethicone, Microcitrus Australasica Fruit Extract, Hydrolyzed Rice Protein, Hydroxyethylcellulose, Avena Sativa (Oat) Kernel Flour, Ceramides, Santalum Acuminatum Fruit Extract, Glycolic Acid, Lactic Acid, Phenoxyethanol, Sclerocarya Birrea Seed Oil, Polysorbate 80, Ethylhexylglycerin, Sodium Polyglutamate, Tocopherol, Parfum, Beta-Glucan, Benzyl Benzoate, Cinnamal, Limonene</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