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10% Niacinamide Serum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10% Niacinamide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10NIAC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Niacinamide (Vitamin B3), Glycerin, Ananas Sativus Fruit Extract, Acacia Senegal Gum, Xanthan Gum, Caprylyl/Capryl Glucoside, Citrus Aurantium Dulcis Peel Oil, Cananga Odorata Flower Oil, Phenoxyethanol, Rosmarinus Officinalis Leaf Oil, Ethylhexylglycerin, Limonene, Linalool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Clear to pale yellow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Floral / herbal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